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952B" w14:textId="4F03A254" w:rsidR="0018518C" w:rsidRPr="00086856" w:rsidRDefault="0094619B" w:rsidP="000E6061">
      <w:pPr>
        <w:jc w:val="center"/>
        <w:rPr>
          <w:b/>
          <w:bCs/>
          <w:u w:val="single"/>
        </w:rPr>
      </w:pPr>
      <w:r>
        <w:rPr>
          <w:b/>
          <w:bCs/>
          <w:u w:val="single"/>
        </w:rPr>
        <w:t xml:space="preserve">Year 7 </w:t>
      </w:r>
      <w:r w:rsidR="000E6061" w:rsidRPr="00086856">
        <w:rPr>
          <w:b/>
          <w:bCs/>
          <w:u w:val="single"/>
        </w:rPr>
        <w:t xml:space="preserve">Curriculum </w:t>
      </w:r>
      <w:r w:rsidR="0FBB5E52" w:rsidRPr="00086856">
        <w:rPr>
          <w:b/>
          <w:bCs/>
          <w:u w:val="single"/>
        </w:rPr>
        <w:t>Map 2025 2026</w:t>
      </w:r>
    </w:p>
    <w:tbl>
      <w:tblPr>
        <w:tblStyle w:val="TableGrid"/>
        <w:tblW w:w="0" w:type="auto"/>
        <w:tblLook w:val="04A0" w:firstRow="1" w:lastRow="0" w:firstColumn="1" w:lastColumn="0" w:noHBand="0" w:noVBand="1"/>
      </w:tblPr>
      <w:tblGrid>
        <w:gridCol w:w="980"/>
        <w:gridCol w:w="1740"/>
        <w:gridCol w:w="1740"/>
        <w:gridCol w:w="1740"/>
        <w:gridCol w:w="1625"/>
        <w:gridCol w:w="1803"/>
        <w:gridCol w:w="1803"/>
        <w:gridCol w:w="1803"/>
        <w:gridCol w:w="714"/>
      </w:tblGrid>
      <w:tr w:rsidR="0066563C" w14:paraId="7C62EBE8" w14:textId="77777777" w:rsidTr="0FAB1AD4">
        <w:trPr>
          <w:trHeight w:val="405"/>
        </w:trPr>
        <w:tc>
          <w:tcPr>
            <w:tcW w:w="1470" w:type="dxa"/>
          </w:tcPr>
          <w:p w14:paraId="4E65DBFA" w14:textId="77777777" w:rsidR="4B4CF305" w:rsidRDefault="4B4CF305"/>
        </w:tc>
        <w:tc>
          <w:tcPr>
            <w:tcW w:w="1572" w:type="dxa"/>
          </w:tcPr>
          <w:p w14:paraId="262E7063" w14:textId="2E562974" w:rsidR="4B4CF305" w:rsidRDefault="4B4CF305">
            <w:r>
              <w:t>Week 1</w:t>
            </w:r>
          </w:p>
        </w:tc>
        <w:tc>
          <w:tcPr>
            <w:tcW w:w="1572" w:type="dxa"/>
          </w:tcPr>
          <w:p w14:paraId="4E4D0835" w14:textId="5C04DD77" w:rsidR="4B4CF305" w:rsidRDefault="4B4CF305">
            <w:r>
              <w:t>Week 2</w:t>
            </w:r>
          </w:p>
        </w:tc>
        <w:tc>
          <w:tcPr>
            <w:tcW w:w="1572" w:type="dxa"/>
          </w:tcPr>
          <w:p w14:paraId="4D8B0E6E" w14:textId="032FE610" w:rsidR="4B4CF305" w:rsidRDefault="4B4CF305">
            <w:r>
              <w:t>Week 3</w:t>
            </w:r>
          </w:p>
        </w:tc>
        <w:tc>
          <w:tcPr>
            <w:tcW w:w="1573" w:type="dxa"/>
          </w:tcPr>
          <w:p w14:paraId="40A3C18C" w14:textId="01ED43BF" w:rsidR="4B4CF305" w:rsidRDefault="4B4CF305">
            <w:r>
              <w:t>Week 4</w:t>
            </w:r>
          </w:p>
        </w:tc>
        <w:tc>
          <w:tcPr>
            <w:tcW w:w="1573" w:type="dxa"/>
          </w:tcPr>
          <w:p w14:paraId="274C5788" w14:textId="780294FA" w:rsidR="4B4CF305" w:rsidRDefault="4B4CF305">
            <w:r>
              <w:t xml:space="preserve">Week 5 </w:t>
            </w:r>
          </w:p>
        </w:tc>
        <w:tc>
          <w:tcPr>
            <w:tcW w:w="1573" w:type="dxa"/>
          </w:tcPr>
          <w:p w14:paraId="2A18366E" w14:textId="111C5BEE" w:rsidR="4B4CF305" w:rsidRDefault="4B4CF305">
            <w:r>
              <w:t xml:space="preserve">Week 6 </w:t>
            </w:r>
          </w:p>
        </w:tc>
        <w:tc>
          <w:tcPr>
            <w:tcW w:w="1573" w:type="dxa"/>
          </w:tcPr>
          <w:p w14:paraId="02DB806A" w14:textId="7556C372" w:rsidR="4B4CF305" w:rsidRDefault="4B4CF305">
            <w:r>
              <w:t xml:space="preserve">Week 7 </w:t>
            </w:r>
          </w:p>
        </w:tc>
        <w:tc>
          <w:tcPr>
            <w:tcW w:w="1470" w:type="dxa"/>
          </w:tcPr>
          <w:p w14:paraId="194FCD6B" w14:textId="2E55CBD2" w:rsidR="4B4CF305" w:rsidRDefault="4B4CF305">
            <w:r>
              <w:t>Week 8</w:t>
            </w:r>
          </w:p>
        </w:tc>
      </w:tr>
      <w:tr w:rsidR="4B4CF305" w14:paraId="75EAB96B" w14:textId="77777777" w:rsidTr="0FAB1AD4">
        <w:trPr>
          <w:trHeight w:val="300"/>
        </w:trPr>
        <w:tc>
          <w:tcPr>
            <w:tcW w:w="1470" w:type="dxa"/>
            <w:shd w:val="clear" w:color="auto" w:fill="FAE2D5" w:themeFill="accent2" w:themeFillTint="33"/>
          </w:tcPr>
          <w:p w14:paraId="3109127E" w14:textId="196846A4" w:rsidR="4B4CF305" w:rsidRDefault="4B4CF305">
            <w:r>
              <w:t>Autumn 1</w:t>
            </w:r>
          </w:p>
        </w:tc>
        <w:tc>
          <w:tcPr>
            <w:tcW w:w="12478" w:type="dxa"/>
            <w:gridSpan w:val="8"/>
            <w:shd w:val="clear" w:color="auto" w:fill="FAE2D5" w:themeFill="accent2" w:themeFillTint="33"/>
          </w:tcPr>
          <w:p w14:paraId="0D8C1359" w14:textId="6D185A5D" w:rsidR="4B4CF305" w:rsidRDefault="0059037B">
            <w:r w:rsidRPr="0059037B">
              <w:t>This half term, students will learn about the forces that affect motion, including speed and gravity, and how these are measured and calculated. They will also be introduced to the particle model, which helps explain the properties of solids, liquids and gases.</w:t>
            </w:r>
          </w:p>
        </w:tc>
      </w:tr>
      <w:tr w:rsidR="0066563C" w14:paraId="6BD470C9" w14:textId="77777777" w:rsidTr="0FAB1AD4">
        <w:trPr>
          <w:trHeight w:val="300"/>
        </w:trPr>
        <w:tc>
          <w:tcPr>
            <w:tcW w:w="1470" w:type="dxa"/>
          </w:tcPr>
          <w:p w14:paraId="51A5A723" w14:textId="5680EB0F" w:rsidR="009405A5" w:rsidRDefault="339C77FC">
            <w:r>
              <w:t>Unit</w:t>
            </w:r>
          </w:p>
        </w:tc>
        <w:tc>
          <w:tcPr>
            <w:tcW w:w="1572" w:type="dxa"/>
          </w:tcPr>
          <w:p w14:paraId="25AD1F8F" w14:textId="4C821D1E" w:rsidR="4B4CF305" w:rsidRDefault="00350833">
            <w:r>
              <w:t>Introduction and baselines</w:t>
            </w:r>
          </w:p>
        </w:tc>
        <w:tc>
          <w:tcPr>
            <w:tcW w:w="1572" w:type="dxa"/>
          </w:tcPr>
          <w:p w14:paraId="38824128" w14:textId="22BF20AE" w:rsidR="4B4CF305" w:rsidRDefault="00663B75">
            <w:r>
              <w:t>Forces – Speed</w:t>
            </w:r>
          </w:p>
        </w:tc>
        <w:tc>
          <w:tcPr>
            <w:tcW w:w="1572" w:type="dxa"/>
          </w:tcPr>
          <w:p w14:paraId="7F8DD03A" w14:textId="7ECC3404" w:rsidR="4B4CF305" w:rsidRDefault="00350833">
            <w:r>
              <w:t>Forces – Speed</w:t>
            </w:r>
          </w:p>
        </w:tc>
        <w:tc>
          <w:tcPr>
            <w:tcW w:w="1573" w:type="dxa"/>
          </w:tcPr>
          <w:p w14:paraId="52188729" w14:textId="30ACE53B" w:rsidR="4B4CF305" w:rsidRDefault="00663B75">
            <w:r>
              <w:t>Forces – Gravity</w:t>
            </w:r>
          </w:p>
        </w:tc>
        <w:tc>
          <w:tcPr>
            <w:tcW w:w="1573" w:type="dxa"/>
          </w:tcPr>
          <w:p w14:paraId="57099862" w14:textId="3CE1B61D" w:rsidR="4B4CF305" w:rsidRDefault="00663B75">
            <w:r>
              <w:t>Forces – Gravit</w:t>
            </w:r>
            <w:r w:rsidR="00871E51">
              <w:t>y</w:t>
            </w:r>
          </w:p>
        </w:tc>
        <w:tc>
          <w:tcPr>
            <w:tcW w:w="1573" w:type="dxa"/>
          </w:tcPr>
          <w:p w14:paraId="1758A8E8" w14:textId="20171DF9" w:rsidR="4B4CF305" w:rsidRDefault="00871E51">
            <w:r>
              <w:t>Matter – The Particle Model</w:t>
            </w:r>
          </w:p>
        </w:tc>
        <w:tc>
          <w:tcPr>
            <w:tcW w:w="1573" w:type="dxa"/>
          </w:tcPr>
          <w:p w14:paraId="11F537E8" w14:textId="1BBA06A4" w:rsidR="4B4CF305" w:rsidRDefault="00871E51">
            <w:r>
              <w:t>Assessment/Data Check</w:t>
            </w:r>
          </w:p>
        </w:tc>
        <w:tc>
          <w:tcPr>
            <w:tcW w:w="1470" w:type="dxa"/>
            <w:shd w:val="clear" w:color="auto" w:fill="A6A6A6" w:themeFill="background1" w:themeFillShade="A6"/>
          </w:tcPr>
          <w:p w14:paraId="5B14FD1E" w14:textId="77777777" w:rsidR="4B4CF305" w:rsidRDefault="4B4CF305"/>
        </w:tc>
      </w:tr>
      <w:tr w:rsidR="4B4CF305" w14:paraId="6DBC7C57" w14:textId="77777777" w:rsidTr="0FAB1AD4">
        <w:trPr>
          <w:trHeight w:val="300"/>
        </w:trPr>
        <w:tc>
          <w:tcPr>
            <w:tcW w:w="1470" w:type="dxa"/>
            <w:shd w:val="clear" w:color="auto" w:fill="FAE2D5" w:themeFill="accent2" w:themeFillTint="33"/>
          </w:tcPr>
          <w:p w14:paraId="3D8A8E59" w14:textId="09C808D2" w:rsidR="4B4CF305" w:rsidRDefault="4B4CF305">
            <w:r>
              <w:t>Autumn 2</w:t>
            </w:r>
          </w:p>
        </w:tc>
        <w:tc>
          <w:tcPr>
            <w:tcW w:w="12478" w:type="dxa"/>
            <w:gridSpan w:val="8"/>
            <w:shd w:val="clear" w:color="auto" w:fill="FAE2D5" w:themeFill="accent2" w:themeFillTint="33"/>
          </w:tcPr>
          <w:p w14:paraId="1543F24C" w14:textId="2310D00A" w:rsidR="4B4CF305" w:rsidRDefault="00F31076">
            <w:r w:rsidRPr="00F31076">
              <w:t>This half term, students will explore how mixtures can be separated using methods like filtration, evaporation and distillation. They will also begin learning about how the human body moves, focusing on the structure and function of the skeleton and muscles.</w:t>
            </w:r>
          </w:p>
        </w:tc>
      </w:tr>
      <w:tr w:rsidR="0066563C" w14:paraId="5203530C" w14:textId="77777777" w:rsidTr="0FAB1AD4">
        <w:trPr>
          <w:trHeight w:val="300"/>
        </w:trPr>
        <w:tc>
          <w:tcPr>
            <w:tcW w:w="1470" w:type="dxa"/>
          </w:tcPr>
          <w:p w14:paraId="6037D5FE" w14:textId="0AA82FE3" w:rsidR="009405A5" w:rsidRDefault="00177E88">
            <w:r>
              <w:t>Unit</w:t>
            </w:r>
          </w:p>
        </w:tc>
        <w:tc>
          <w:tcPr>
            <w:tcW w:w="1572" w:type="dxa"/>
          </w:tcPr>
          <w:p w14:paraId="2232F564" w14:textId="77777777" w:rsidR="4B4CF305" w:rsidRDefault="4B4CF305"/>
          <w:p w14:paraId="69C98B8D" w14:textId="1E55720A" w:rsidR="4B4CF305" w:rsidRDefault="009565AE">
            <w:r>
              <w:t>Matter – Separating Mixtures</w:t>
            </w:r>
          </w:p>
        </w:tc>
        <w:tc>
          <w:tcPr>
            <w:tcW w:w="1572" w:type="dxa"/>
          </w:tcPr>
          <w:p w14:paraId="099537E0" w14:textId="3D6BA7CF" w:rsidR="4B4CF305" w:rsidRDefault="00C97E2D">
            <w:r>
              <w:t>Matter – Separating Mixtures</w:t>
            </w:r>
          </w:p>
        </w:tc>
        <w:tc>
          <w:tcPr>
            <w:tcW w:w="1572" w:type="dxa"/>
          </w:tcPr>
          <w:p w14:paraId="0AB2677D" w14:textId="355531DC" w:rsidR="4B4CF305" w:rsidRDefault="00BE1CC9">
            <w:r>
              <w:t>Organisms – Movement</w:t>
            </w:r>
          </w:p>
        </w:tc>
        <w:tc>
          <w:tcPr>
            <w:tcW w:w="1573" w:type="dxa"/>
          </w:tcPr>
          <w:p w14:paraId="566692AD" w14:textId="32489030" w:rsidR="4B4CF305" w:rsidRDefault="00BE1CC9">
            <w:r>
              <w:t>Organisms – Movement</w:t>
            </w:r>
          </w:p>
        </w:tc>
        <w:tc>
          <w:tcPr>
            <w:tcW w:w="1573" w:type="dxa"/>
          </w:tcPr>
          <w:p w14:paraId="51FEF865" w14:textId="24D05522" w:rsidR="4B4CF305" w:rsidRDefault="00BE1CC9">
            <w:r>
              <w:t>Organisms – Movement</w:t>
            </w:r>
          </w:p>
        </w:tc>
        <w:tc>
          <w:tcPr>
            <w:tcW w:w="1573" w:type="dxa"/>
          </w:tcPr>
          <w:p w14:paraId="3760AD52" w14:textId="5F683E2A" w:rsidR="4B4CF305" w:rsidRDefault="00C97E2D">
            <w:r>
              <w:t>Revision, assessment and gap fill</w:t>
            </w:r>
          </w:p>
        </w:tc>
        <w:tc>
          <w:tcPr>
            <w:tcW w:w="1573" w:type="dxa"/>
          </w:tcPr>
          <w:p w14:paraId="3B814418" w14:textId="6B76DCE7" w:rsidR="4B4CF305" w:rsidRDefault="00C97E2D">
            <w:r>
              <w:t>Revision, assessment and gap fill</w:t>
            </w:r>
          </w:p>
        </w:tc>
        <w:tc>
          <w:tcPr>
            <w:tcW w:w="1470" w:type="dxa"/>
            <w:shd w:val="clear" w:color="auto" w:fill="A6A6A6" w:themeFill="background1" w:themeFillShade="A6"/>
          </w:tcPr>
          <w:p w14:paraId="6629CFA0" w14:textId="77777777" w:rsidR="4B4CF305" w:rsidRDefault="4B4CF305"/>
        </w:tc>
      </w:tr>
      <w:tr w:rsidR="4B4CF305" w14:paraId="1DEE7ECE" w14:textId="77777777" w:rsidTr="0FAB1AD4">
        <w:trPr>
          <w:trHeight w:val="300"/>
        </w:trPr>
        <w:tc>
          <w:tcPr>
            <w:tcW w:w="1470" w:type="dxa"/>
            <w:shd w:val="clear" w:color="auto" w:fill="C1F0C7" w:themeFill="accent3" w:themeFillTint="33"/>
          </w:tcPr>
          <w:p w14:paraId="57586A05" w14:textId="642644CB" w:rsidR="4B4CF305" w:rsidRDefault="4B4CF305">
            <w:r>
              <w:t>Spring 1</w:t>
            </w:r>
          </w:p>
        </w:tc>
        <w:tc>
          <w:tcPr>
            <w:tcW w:w="12478" w:type="dxa"/>
            <w:gridSpan w:val="8"/>
            <w:shd w:val="clear" w:color="auto" w:fill="C1F0C7" w:themeFill="accent3" w:themeFillTint="33"/>
          </w:tcPr>
          <w:p w14:paraId="269E18B2" w14:textId="23311CF1" w:rsidR="4B4CF305" w:rsidRDefault="00F31076" w:rsidP="4B4CF305">
            <w:pPr>
              <w:rPr>
                <w:rFonts w:ascii="Calibri" w:hAnsi="Calibri" w:cs="Calibri"/>
              </w:rPr>
            </w:pPr>
            <w:r w:rsidRPr="00F31076">
              <w:rPr>
                <w:rFonts w:ascii="Calibri" w:hAnsi="Calibri" w:cs="Calibri"/>
              </w:rPr>
              <w:t>This half term, students will investigate the structure of cells, how they are organised in living organisms, and the role of specialised cells. They will then move on to studying voltage and resistance in simple electrical circuits.</w:t>
            </w:r>
          </w:p>
        </w:tc>
      </w:tr>
      <w:tr w:rsidR="0066563C" w14:paraId="25723EAF" w14:textId="77777777" w:rsidTr="0FAB1AD4">
        <w:trPr>
          <w:trHeight w:val="300"/>
        </w:trPr>
        <w:tc>
          <w:tcPr>
            <w:tcW w:w="1470" w:type="dxa"/>
          </w:tcPr>
          <w:p w14:paraId="152E7D80" w14:textId="409BB8B2" w:rsidR="009405A5" w:rsidRDefault="00177E88">
            <w:r>
              <w:t>Unit</w:t>
            </w:r>
          </w:p>
        </w:tc>
        <w:tc>
          <w:tcPr>
            <w:tcW w:w="1572" w:type="dxa"/>
          </w:tcPr>
          <w:p w14:paraId="676B81D1" w14:textId="5C002235" w:rsidR="4B4CF305" w:rsidRDefault="00D72950">
            <w:r>
              <w:t>Organisms – Cells</w:t>
            </w:r>
          </w:p>
          <w:p w14:paraId="481849D8" w14:textId="1725308C" w:rsidR="4B4CF305" w:rsidRDefault="4B4CF305"/>
        </w:tc>
        <w:tc>
          <w:tcPr>
            <w:tcW w:w="1572" w:type="dxa"/>
          </w:tcPr>
          <w:p w14:paraId="6D020E2C" w14:textId="77777777" w:rsidR="00917644" w:rsidRDefault="00917644" w:rsidP="00917644">
            <w:r>
              <w:t>Organisms – Cells</w:t>
            </w:r>
          </w:p>
          <w:p w14:paraId="200EBF88" w14:textId="249F87B0" w:rsidR="4B4CF305" w:rsidRDefault="4B4CF305"/>
        </w:tc>
        <w:tc>
          <w:tcPr>
            <w:tcW w:w="1572" w:type="dxa"/>
          </w:tcPr>
          <w:p w14:paraId="65F1C1FA" w14:textId="77777777" w:rsidR="00917644" w:rsidRDefault="00917644" w:rsidP="00917644">
            <w:r>
              <w:t>Organisms – Cells</w:t>
            </w:r>
          </w:p>
          <w:p w14:paraId="7F829F67" w14:textId="52CD2F61" w:rsidR="4B4CF305" w:rsidRDefault="4B4CF305"/>
        </w:tc>
        <w:tc>
          <w:tcPr>
            <w:tcW w:w="1573" w:type="dxa"/>
          </w:tcPr>
          <w:p w14:paraId="73505C1A" w14:textId="1FB109E1" w:rsidR="4B4CF305" w:rsidRDefault="0070168F">
            <w:r>
              <w:t>Electromagnets – voltage and resistance</w:t>
            </w:r>
          </w:p>
        </w:tc>
        <w:tc>
          <w:tcPr>
            <w:tcW w:w="1573" w:type="dxa"/>
          </w:tcPr>
          <w:p w14:paraId="71B5A468" w14:textId="2B95BE5C" w:rsidR="4B4CF305" w:rsidRDefault="0070168F">
            <w:r>
              <w:t>Electromagnets – voltage and resistance</w:t>
            </w:r>
          </w:p>
        </w:tc>
        <w:tc>
          <w:tcPr>
            <w:tcW w:w="1573" w:type="dxa"/>
          </w:tcPr>
          <w:p w14:paraId="45E3344F" w14:textId="7B96BA1C" w:rsidR="00F72500" w:rsidRDefault="0066563C" w:rsidP="00F72500">
            <w:r>
              <w:t>Assessment/Data check</w:t>
            </w:r>
          </w:p>
          <w:p w14:paraId="7ADAAA9C" w14:textId="5D209439" w:rsidR="4B4CF305" w:rsidRDefault="4B4CF305"/>
        </w:tc>
        <w:tc>
          <w:tcPr>
            <w:tcW w:w="1573" w:type="dxa"/>
            <w:shd w:val="clear" w:color="auto" w:fill="A6A6A6" w:themeFill="background1" w:themeFillShade="A6"/>
          </w:tcPr>
          <w:p w14:paraId="68DB4E25" w14:textId="77777777" w:rsidR="4B4CF305" w:rsidRDefault="4B4CF305"/>
        </w:tc>
        <w:tc>
          <w:tcPr>
            <w:tcW w:w="1470" w:type="dxa"/>
            <w:shd w:val="clear" w:color="auto" w:fill="A6A6A6" w:themeFill="background1" w:themeFillShade="A6"/>
          </w:tcPr>
          <w:p w14:paraId="76ECF2AC" w14:textId="77777777" w:rsidR="4B4CF305" w:rsidRDefault="4B4CF305"/>
        </w:tc>
      </w:tr>
      <w:tr w:rsidR="4B4CF305" w14:paraId="7E358A9A" w14:textId="77777777" w:rsidTr="0FAB1AD4">
        <w:trPr>
          <w:trHeight w:val="300"/>
        </w:trPr>
        <w:tc>
          <w:tcPr>
            <w:tcW w:w="1470" w:type="dxa"/>
            <w:shd w:val="clear" w:color="auto" w:fill="C1F0C7" w:themeFill="accent3" w:themeFillTint="33"/>
          </w:tcPr>
          <w:p w14:paraId="6F439789" w14:textId="08D92207" w:rsidR="4B4CF305" w:rsidRDefault="4B4CF305">
            <w:r>
              <w:t>Spring 2</w:t>
            </w:r>
          </w:p>
        </w:tc>
        <w:tc>
          <w:tcPr>
            <w:tcW w:w="12478" w:type="dxa"/>
            <w:gridSpan w:val="8"/>
            <w:shd w:val="clear" w:color="auto" w:fill="C1F0C7" w:themeFill="accent3" w:themeFillTint="33"/>
          </w:tcPr>
          <w:p w14:paraId="7C0FF7EF" w14:textId="37CACF5A" w:rsidR="4B4CF305" w:rsidRDefault="00D92D60">
            <w:r w:rsidRPr="00D92D60">
              <w:t>This half term, students will explore how electric current flows in circuits and how this links to real-life applications. They will also begin to study chemical reactions, focusing on how metals react with acids and the properties of acids and alkalis.</w:t>
            </w:r>
          </w:p>
        </w:tc>
      </w:tr>
      <w:tr w:rsidR="00F72500" w14:paraId="67E2965A" w14:textId="77777777" w:rsidTr="0FAB1AD4">
        <w:trPr>
          <w:trHeight w:val="300"/>
        </w:trPr>
        <w:tc>
          <w:tcPr>
            <w:tcW w:w="1470" w:type="dxa"/>
          </w:tcPr>
          <w:p w14:paraId="7A5780C1" w14:textId="31094C72" w:rsidR="009405A5" w:rsidRDefault="00177E88">
            <w:r>
              <w:t>Unit</w:t>
            </w:r>
          </w:p>
        </w:tc>
        <w:tc>
          <w:tcPr>
            <w:tcW w:w="1572" w:type="dxa"/>
          </w:tcPr>
          <w:p w14:paraId="72C1F6DF" w14:textId="3B01046F" w:rsidR="4B4CF305" w:rsidRDefault="00F72500">
            <w:r>
              <w:t>Electromagnets – Current</w:t>
            </w:r>
          </w:p>
          <w:p w14:paraId="4057A6CA" w14:textId="1CB19643" w:rsidR="4B4CF305" w:rsidRDefault="4B4CF305"/>
        </w:tc>
        <w:tc>
          <w:tcPr>
            <w:tcW w:w="1572" w:type="dxa"/>
          </w:tcPr>
          <w:p w14:paraId="14D0104A" w14:textId="77777777" w:rsidR="0066563C" w:rsidRDefault="0066563C" w:rsidP="0066563C">
            <w:r>
              <w:t>Electromagnets – Current</w:t>
            </w:r>
          </w:p>
          <w:p w14:paraId="139D9237" w14:textId="108D38FE" w:rsidR="4B4CF305" w:rsidRDefault="4B4CF305"/>
        </w:tc>
        <w:tc>
          <w:tcPr>
            <w:tcW w:w="1572" w:type="dxa"/>
          </w:tcPr>
          <w:p w14:paraId="748FD444" w14:textId="13C6D15B" w:rsidR="4B4CF305" w:rsidRDefault="00C139F1">
            <w:r>
              <w:t xml:space="preserve">Reactions – metals and </w:t>
            </w:r>
            <w:proofErr w:type="spellStart"/>
            <w:r>
              <w:t>non metals</w:t>
            </w:r>
            <w:proofErr w:type="spellEnd"/>
            <w:r>
              <w:t xml:space="preserve">; </w:t>
            </w:r>
            <w:r>
              <w:lastRenderedPageBreak/>
              <w:t>acids and alkalis</w:t>
            </w:r>
          </w:p>
        </w:tc>
        <w:tc>
          <w:tcPr>
            <w:tcW w:w="1573" w:type="dxa"/>
          </w:tcPr>
          <w:p w14:paraId="506AE3C0" w14:textId="4D5A5AD6" w:rsidR="4B4CF305" w:rsidRDefault="00C139F1">
            <w:r>
              <w:lastRenderedPageBreak/>
              <w:t xml:space="preserve">Reactions – metals and </w:t>
            </w:r>
            <w:proofErr w:type="spellStart"/>
            <w:r>
              <w:t>non metals</w:t>
            </w:r>
            <w:proofErr w:type="spellEnd"/>
            <w:r>
              <w:t xml:space="preserve">; </w:t>
            </w:r>
            <w:r>
              <w:lastRenderedPageBreak/>
              <w:t>acids and alkalis</w:t>
            </w:r>
          </w:p>
        </w:tc>
        <w:tc>
          <w:tcPr>
            <w:tcW w:w="1573" w:type="dxa"/>
          </w:tcPr>
          <w:p w14:paraId="5E8F333A" w14:textId="77777777" w:rsidR="0066563C" w:rsidRDefault="0066563C" w:rsidP="0066563C">
            <w:r>
              <w:lastRenderedPageBreak/>
              <w:t>Assessment/Data check</w:t>
            </w:r>
          </w:p>
          <w:p w14:paraId="743103ED" w14:textId="59C88787" w:rsidR="4B4CF305" w:rsidRDefault="4B4CF305"/>
        </w:tc>
        <w:tc>
          <w:tcPr>
            <w:tcW w:w="1573" w:type="dxa"/>
            <w:shd w:val="clear" w:color="auto" w:fill="A6A6A6" w:themeFill="background1" w:themeFillShade="A6"/>
          </w:tcPr>
          <w:p w14:paraId="1B964DDE" w14:textId="6A25F881" w:rsidR="4B4CF305" w:rsidRDefault="4B4CF305"/>
        </w:tc>
        <w:tc>
          <w:tcPr>
            <w:tcW w:w="1573" w:type="dxa"/>
            <w:shd w:val="clear" w:color="auto" w:fill="A6A6A6" w:themeFill="background1" w:themeFillShade="A6"/>
          </w:tcPr>
          <w:p w14:paraId="6228E3FF" w14:textId="77777777" w:rsidR="4B4CF305" w:rsidRDefault="4B4CF305"/>
        </w:tc>
        <w:tc>
          <w:tcPr>
            <w:tcW w:w="1470" w:type="dxa"/>
            <w:shd w:val="clear" w:color="auto" w:fill="A6A6A6" w:themeFill="background1" w:themeFillShade="A6"/>
          </w:tcPr>
          <w:p w14:paraId="37FBC8B4" w14:textId="77777777" w:rsidR="4B4CF305" w:rsidRDefault="4B4CF305"/>
        </w:tc>
      </w:tr>
      <w:tr w:rsidR="4B4CF305" w14:paraId="55BB759A" w14:textId="77777777" w:rsidTr="0FAB1AD4">
        <w:trPr>
          <w:trHeight w:val="300"/>
        </w:trPr>
        <w:tc>
          <w:tcPr>
            <w:tcW w:w="1470" w:type="dxa"/>
            <w:shd w:val="clear" w:color="auto" w:fill="FFFFCC"/>
          </w:tcPr>
          <w:p w14:paraId="49C4B875" w14:textId="67DE15CF" w:rsidR="4B4CF305" w:rsidRDefault="4B4CF305">
            <w:r>
              <w:t>Summer 1</w:t>
            </w:r>
          </w:p>
        </w:tc>
        <w:tc>
          <w:tcPr>
            <w:tcW w:w="12478" w:type="dxa"/>
            <w:gridSpan w:val="8"/>
            <w:shd w:val="clear" w:color="auto" w:fill="FFFFCC"/>
          </w:tcPr>
          <w:p w14:paraId="6825C5A0" w14:textId="6D7235FA" w:rsidR="4B4CF305" w:rsidRDefault="00D92D60">
            <w:r w:rsidRPr="00D92D60">
              <w:t>This half term, students will learn about ecosystems by exploring how living things depend on each other for survival. They will also study how plants reproduce and the role of flowers in the life cycle of a plant.</w:t>
            </w:r>
          </w:p>
        </w:tc>
      </w:tr>
      <w:tr w:rsidR="0066563C" w14:paraId="3C54243E" w14:textId="77777777" w:rsidTr="0FAB1AD4">
        <w:trPr>
          <w:trHeight w:val="300"/>
        </w:trPr>
        <w:tc>
          <w:tcPr>
            <w:tcW w:w="1470" w:type="dxa"/>
          </w:tcPr>
          <w:p w14:paraId="511E6C91" w14:textId="4CC68BB4" w:rsidR="009405A5" w:rsidRDefault="00177E88">
            <w:r>
              <w:t>Unit</w:t>
            </w:r>
          </w:p>
        </w:tc>
        <w:tc>
          <w:tcPr>
            <w:tcW w:w="1572" w:type="dxa"/>
          </w:tcPr>
          <w:p w14:paraId="6F965A1B" w14:textId="0FF210E1" w:rsidR="4B4CF305" w:rsidRDefault="00385427">
            <w:r>
              <w:t>Ecosystems – interdependence</w:t>
            </w:r>
          </w:p>
          <w:p w14:paraId="3C9FA507" w14:textId="09174257" w:rsidR="4B4CF305" w:rsidRDefault="4B4CF305"/>
        </w:tc>
        <w:tc>
          <w:tcPr>
            <w:tcW w:w="1572" w:type="dxa"/>
          </w:tcPr>
          <w:p w14:paraId="08E667D7" w14:textId="77777777" w:rsidR="00385427" w:rsidRDefault="00385427" w:rsidP="00385427">
            <w:r>
              <w:t>Ecosystems – interdependence</w:t>
            </w:r>
          </w:p>
          <w:p w14:paraId="1FFB5D29" w14:textId="4B1894F4" w:rsidR="4B4CF305" w:rsidRDefault="4B4CF305"/>
        </w:tc>
        <w:tc>
          <w:tcPr>
            <w:tcW w:w="1572" w:type="dxa"/>
          </w:tcPr>
          <w:p w14:paraId="021BBF0F" w14:textId="77777777" w:rsidR="0060014E" w:rsidRDefault="0060014E" w:rsidP="0060014E">
            <w:r>
              <w:t>Ecosystems – interdependence</w:t>
            </w:r>
          </w:p>
          <w:p w14:paraId="02087866" w14:textId="568518E3" w:rsidR="4B4CF305" w:rsidRDefault="4B4CF305"/>
        </w:tc>
        <w:tc>
          <w:tcPr>
            <w:tcW w:w="1573" w:type="dxa"/>
          </w:tcPr>
          <w:p w14:paraId="025522D5" w14:textId="66A6CDF7" w:rsidR="4B4CF305" w:rsidRDefault="0067192D">
            <w:r>
              <w:t>Ecosystems – plant reproduction</w:t>
            </w:r>
          </w:p>
        </w:tc>
        <w:tc>
          <w:tcPr>
            <w:tcW w:w="1573" w:type="dxa"/>
          </w:tcPr>
          <w:p w14:paraId="28A20813" w14:textId="1962D6E8" w:rsidR="4B4CF305" w:rsidRDefault="0067192D">
            <w:r>
              <w:t>Ecosystems – plant reproduction</w:t>
            </w:r>
          </w:p>
        </w:tc>
        <w:tc>
          <w:tcPr>
            <w:tcW w:w="1573" w:type="dxa"/>
          </w:tcPr>
          <w:p w14:paraId="6301DE97" w14:textId="77777777" w:rsidR="4B4CF305" w:rsidRDefault="0067192D">
            <w:r>
              <w:t>Assessment-Data collection</w:t>
            </w:r>
          </w:p>
          <w:p w14:paraId="01EE592F" w14:textId="36D53AEC" w:rsidR="0067192D" w:rsidRDefault="0067192D"/>
        </w:tc>
        <w:tc>
          <w:tcPr>
            <w:tcW w:w="1573" w:type="dxa"/>
            <w:shd w:val="clear" w:color="auto" w:fill="A6A6A6" w:themeFill="background1" w:themeFillShade="A6"/>
          </w:tcPr>
          <w:p w14:paraId="2F8E7A8A" w14:textId="77777777" w:rsidR="4B4CF305" w:rsidRDefault="4B4CF305"/>
        </w:tc>
        <w:tc>
          <w:tcPr>
            <w:tcW w:w="1470" w:type="dxa"/>
            <w:shd w:val="clear" w:color="auto" w:fill="A6A6A6" w:themeFill="background1" w:themeFillShade="A6"/>
          </w:tcPr>
          <w:p w14:paraId="47D644CE" w14:textId="77777777" w:rsidR="4B4CF305" w:rsidRDefault="4B4CF305"/>
        </w:tc>
      </w:tr>
      <w:tr w:rsidR="4B4CF305" w14:paraId="5A20962C" w14:textId="77777777" w:rsidTr="0FAB1AD4">
        <w:trPr>
          <w:trHeight w:val="300"/>
        </w:trPr>
        <w:tc>
          <w:tcPr>
            <w:tcW w:w="1470" w:type="dxa"/>
            <w:shd w:val="clear" w:color="auto" w:fill="FFFFCC"/>
          </w:tcPr>
          <w:p w14:paraId="30F3CEAD" w14:textId="0D44FBD5" w:rsidR="4B4CF305" w:rsidRDefault="4B4CF305">
            <w:r>
              <w:t>Summer 2</w:t>
            </w:r>
          </w:p>
        </w:tc>
        <w:tc>
          <w:tcPr>
            <w:tcW w:w="12478" w:type="dxa"/>
            <w:gridSpan w:val="8"/>
            <w:shd w:val="clear" w:color="auto" w:fill="FFFFCC"/>
          </w:tcPr>
          <w:p w14:paraId="5F9B9EB4" w14:textId="5F6231D8" w:rsidR="4B4CF305" w:rsidRDefault="00D92D60">
            <w:r w:rsidRPr="00D92D60">
              <w:t>This half term, students will continue their study of plant reproduction before moving on to explore how energy is transferred in different situations and how energy use is measured and managed in daily life. They will also take part in enrichment activities to broaden their understanding of science in the real world.</w:t>
            </w:r>
          </w:p>
        </w:tc>
      </w:tr>
      <w:tr w:rsidR="0066563C" w14:paraId="2474AB0C" w14:textId="77777777" w:rsidTr="0FAB1AD4">
        <w:trPr>
          <w:trHeight w:val="300"/>
        </w:trPr>
        <w:tc>
          <w:tcPr>
            <w:tcW w:w="1470" w:type="dxa"/>
          </w:tcPr>
          <w:p w14:paraId="3726F275" w14:textId="77EA4D82" w:rsidR="009405A5" w:rsidRDefault="00177E88">
            <w:r>
              <w:t>Unit</w:t>
            </w:r>
          </w:p>
        </w:tc>
        <w:tc>
          <w:tcPr>
            <w:tcW w:w="1572" w:type="dxa"/>
          </w:tcPr>
          <w:p w14:paraId="6E3DEDD4" w14:textId="77777777" w:rsidR="4B4CF305" w:rsidRDefault="4B4CF305"/>
          <w:p w14:paraId="6EB5BB90" w14:textId="59C530BA" w:rsidR="4B4CF305" w:rsidRDefault="0067192D">
            <w:r>
              <w:t>Ecosystems – plant reproduction</w:t>
            </w:r>
          </w:p>
        </w:tc>
        <w:tc>
          <w:tcPr>
            <w:tcW w:w="1572" w:type="dxa"/>
          </w:tcPr>
          <w:p w14:paraId="4D16027A" w14:textId="09684C98" w:rsidR="4B4CF305" w:rsidRDefault="00754DE4">
            <w:r>
              <w:t>Energy – transfers and costs</w:t>
            </w:r>
          </w:p>
        </w:tc>
        <w:tc>
          <w:tcPr>
            <w:tcW w:w="1572" w:type="dxa"/>
          </w:tcPr>
          <w:p w14:paraId="4FA17ECE" w14:textId="6683556E" w:rsidR="4B4CF305" w:rsidRDefault="00754DE4">
            <w:r>
              <w:t>Energy – transfers and costs</w:t>
            </w:r>
          </w:p>
        </w:tc>
        <w:tc>
          <w:tcPr>
            <w:tcW w:w="1573" w:type="dxa"/>
          </w:tcPr>
          <w:p w14:paraId="4BB67559" w14:textId="3F1D48AE" w:rsidR="4B4CF305" w:rsidRDefault="008943B3">
            <w:r>
              <w:t>Energy – transfers and costs</w:t>
            </w:r>
          </w:p>
        </w:tc>
        <w:tc>
          <w:tcPr>
            <w:tcW w:w="1573" w:type="dxa"/>
          </w:tcPr>
          <w:p w14:paraId="6957FD6D" w14:textId="23A22F34" w:rsidR="4B4CF305" w:rsidRDefault="008943B3">
            <w:r>
              <w:t>Assessment/Data collection</w:t>
            </w:r>
          </w:p>
        </w:tc>
        <w:tc>
          <w:tcPr>
            <w:tcW w:w="1573" w:type="dxa"/>
          </w:tcPr>
          <w:p w14:paraId="67AE3A68" w14:textId="0C18856F" w:rsidR="4B4CF305" w:rsidRDefault="008943B3">
            <w:r>
              <w:t>Enrichment</w:t>
            </w:r>
          </w:p>
        </w:tc>
        <w:tc>
          <w:tcPr>
            <w:tcW w:w="1573" w:type="dxa"/>
          </w:tcPr>
          <w:p w14:paraId="5AD6BE4D" w14:textId="2285CC84" w:rsidR="4B4CF305" w:rsidRDefault="008943B3">
            <w:r>
              <w:t>Enrichment</w:t>
            </w:r>
          </w:p>
        </w:tc>
        <w:tc>
          <w:tcPr>
            <w:tcW w:w="1470" w:type="dxa"/>
          </w:tcPr>
          <w:p w14:paraId="389BF573" w14:textId="77777777" w:rsidR="4B4CF305" w:rsidRDefault="4B4CF305"/>
        </w:tc>
      </w:tr>
    </w:tbl>
    <w:p w14:paraId="01E471E9" w14:textId="4E083F8D" w:rsidR="002E3F20" w:rsidRPr="000E6061" w:rsidRDefault="002E3F20" w:rsidP="000E6061">
      <w:pPr>
        <w:jc w:val="center"/>
        <w:rPr>
          <w:u w:val="single"/>
        </w:rPr>
      </w:pPr>
    </w:p>
    <w:sectPr w:rsidR="002E3F20" w:rsidRPr="000E6061" w:rsidSect="00136848">
      <w:headerReference w:type="default" r:id="rId8"/>
      <w:footerReference w:type="default" r:id="rId9"/>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EB4A" w14:textId="77777777" w:rsidR="00F24F73" w:rsidRDefault="00F24F73" w:rsidP="00C81F19">
      <w:pPr>
        <w:spacing w:after="0" w:line="240" w:lineRule="auto"/>
      </w:pPr>
      <w:r>
        <w:separator/>
      </w:r>
    </w:p>
  </w:endnote>
  <w:endnote w:type="continuationSeparator" w:id="0">
    <w:p w14:paraId="3EA4FD90" w14:textId="77777777" w:rsidR="00F24F73" w:rsidRDefault="00F24F73" w:rsidP="00C81F19">
      <w:pPr>
        <w:spacing w:after="0" w:line="240" w:lineRule="auto"/>
      </w:pPr>
      <w:r>
        <w:continuationSeparator/>
      </w:r>
    </w:p>
  </w:endnote>
  <w:endnote w:type="continuationNotice" w:id="1">
    <w:p w14:paraId="55FF9089" w14:textId="77777777" w:rsidR="00F24F73" w:rsidRDefault="00F24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57E1A13" w14:paraId="56047E64" w14:textId="77777777" w:rsidTr="157E1A13">
      <w:trPr>
        <w:trHeight w:val="300"/>
      </w:trPr>
      <w:tc>
        <w:tcPr>
          <w:tcW w:w="4650" w:type="dxa"/>
        </w:tcPr>
        <w:p w14:paraId="26ECFADC" w14:textId="74EE9908" w:rsidR="157E1A13" w:rsidRDefault="157E1A13" w:rsidP="157E1A13">
          <w:pPr>
            <w:ind w:left="-115"/>
          </w:pPr>
        </w:p>
      </w:tc>
      <w:tc>
        <w:tcPr>
          <w:tcW w:w="4650" w:type="dxa"/>
        </w:tcPr>
        <w:p w14:paraId="4EE93958" w14:textId="0703A2C0" w:rsidR="157E1A13" w:rsidRDefault="157E1A13" w:rsidP="157E1A13">
          <w:pPr>
            <w:jc w:val="center"/>
          </w:pPr>
        </w:p>
      </w:tc>
      <w:tc>
        <w:tcPr>
          <w:tcW w:w="4650" w:type="dxa"/>
        </w:tcPr>
        <w:p w14:paraId="161EA186" w14:textId="5BB5653F" w:rsidR="157E1A13" w:rsidRDefault="157E1A13" w:rsidP="157E1A13">
          <w:pPr>
            <w:ind w:right="-115"/>
            <w:jc w:val="right"/>
          </w:pPr>
        </w:p>
      </w:tc>
    </w:tr>
  </w:tbl>
  <w:p w14:paraId="79F22D81" w14:textId="3F3DD848" w:rsidR="00C81F19" w:rsidRDefault="00C81F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3521" w14:textId="77777777" w:rsidR="00F24F73" w:rsidRDefault="00F24F73" w:rsidP="00C81F19">
      <w:pPr>
        <w:spacing w:after="0" w:line="240" w:lineRule="auto"/>
      </w:pPr>
      <w:r>
        <w:separator/>
      </w:r>
    </w:p>
  </w:footnote>
  <w:footnote w:type="continuationSeparator" w:id="0">
    <w:p w14:paraId="31E75C63" w14:textId="77777777" w:rsidR="00F24F73" w:rsidRDefault="00F24F73" w:rsidP="00C81F19">
      <w:pPr>
        <w:spacing w:after="0" w:line="240" w:lineRule="auto"/>
      </w:pPr>
      <w:r>
        <w:continuationSeparator/>
      </w:r>
    </w:p>
  </w:footnote>
  <w:footnote w:type="continuationNotice" w:id="1">
    <w:p w14:paraId="32099C89" w14:textId="77777777" w:rsidR="00F24F73" w:rsidRDefault="00F24F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57E1A13" w14:paraId="4D33BD8D" w14:textId="77777777" w:rsidTr="157E1A13">
      <w:trPr>
        <w:trHeight w:val="300"/>
      </w:trPr>
      <w:tc>
        <w:tcPr>
          <w:tcW w:w="4650" w:type="dxa"/>
        </w:tcPr>
        <w:p w14:paraId="30E4E4CB" w14:textId="0D0223E2" w:rsidR="157E1A13" w:rsidRDefault="157E1A13" w:rsidP="157E1A13">
          <w:pPr>
            <w:ind w:left="-115"/>
          </w:pPr>
        </w:p>
      </w:tc>
      <w:tc>
        <w:tcPr>
          <w:tcW w:w="4650" w:type="dxa"/>
        </w:tcPr>
        <w:p w14:paraId="586271BC" w14:textId="474A3C28" w:rsidR="157E1A13" w:rsidRDefault="157E1A13" w:rsidP="157E1A13">
          <w:pPr>
            <w:jc w:val="center"/>
          </w:pPr>
        </w:p>
      </w:tc>
      <w:tc>
        <w:tcPr>
          <w:tcW w:w="4650" w:type="dxa"/>
        </w:tcPr>
        <w:p w14:paraId="60E5B9D0" w14:textId="3943182C" w:rsidR="157E1A13" w:rsidRDefault="157E1A13" w:rsidP="157E1A13">
          <w:pPr>
            <w:ind w:right="-115"/>
            <w:jc w:val="right"/>
          </w:pPr>
        </w:p>
      </w:tc>
    </w:tr>
  </w:tbl>
  <w:p w14:paraId="0DD91F68" w14:textId="5E27D1AA" w:rsidR="00C81F19" w:rsidRDefault="00C81F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9E"/>
    <w:rsid w:val="00016B42"/>
    <w:rsid w:val="00084747"/>
    <w:rsid w:val="00086856"/>
    <w:rsid w:val="00096228"/>
    <w:rsid w:val="000A07FD"/>
    <w:rsid w:val="000B1FAA"/>
    <w:rsid w:val="000C7130"/>
    <w:rsid w:val="000D68ED"/>
    <w:rsid w:val="000E584D"/>
    <w:rsid w:val="000E6061"/>
    <w:rsid w:val="00104ED5"/>
    <w:rsid w:val="00112E1E"/>
    <w:rsid w:val="001323FF"/>
    <w:rsid w:val="00136848"/>
    <w:rsid w:val="00137FD3"/>
    <w:rsid w:val="001640EA"/>
    <w:rsid w:val="00177E88"/>
    <w:rsid w:val="0018518C"/>
    <w:rsid w:val="001C1B4F"/>
    <w:rsid w:val="001E4313"/>
    <w:rsid w:val="001F7EC4"/>
    <w:rsid w:val="0020192B"/>
    <w:rsid w:val="0025712D"/>
    <w:rsid w:val="00276A2D"/>
    <w:rsid w:val="002A5DEB"/>
    <w:rsid w:val="002B29C7"/>
    <w:rsid w:val="002E3F20"/>
    <w:rsid w:val="00301C66"/>
    <w:rsid w:val="00320499"/>
    <w:rsid w:val="00350833"/>
    <w:rsid w:val="00385427"/>
    <w:rsid w:val="003B159E"/>
    <w:rsid w:val="003E4F76"/>
    <w:rsid w:val="003F5D62"/>
    <w:rsid w:val="0047642E"/>
    <w:rsid w:val="004879C6"/>
    <w:rsid w:val="004A35D5"/>
    <w:rsid w:val="004C1CB1"/>
    <w:rsid w:val="004C77FB"/>
    <w:rsid w:val="004D06DA"/>
    <w:rsid w:val="00501DD6"/>
    <w:rsid w:val="00551C80"/>
    <w:rsid w:val="00552E2F"/>
    <w:rsid w:val="00566968"/>
    <w:rsid w:val="00566ED8"/>
    <w:rsid w:val="0059037B"/>
    <w:rsid w:val="005A0410"/>
    <w:rsid w:val="005A3279"/>
    <w:rsid w:val="005A7ED1"/>
    <w:rsid w:val="005B3647"/>
    <w:rsid w:val="005B4154"/>
    <w:rsid w:val="005E7ED1"/>
    <w:rsid w:val="005F0D38"/>
    <w:rsid w:val="005F53D1"/>
    <w:rsid w:val="0060014E"/>
    <w:rsid w:val="00607020"/>
    <w:rsid w:val="006276BD"/>
    <w:rsid w:val="00647E92"/>
    <w:rsid w:val="00654CDC"/>
    <w:rsid w:val="00663B75"/>
    <w:rsid w:val="0066563C"/>
    <w:rsid w:val="0067192D"/>
    <w:rsid w:val="00683C10"/>
    <w:rsid w:val="00691979"/>
    <w:rsid w:val="006D7D55"/>
    <w:rsid w:val="00700674"/>
    <w:rsid w:val="0070168F"/>
    <w:rsid w:val="007045D6"/>
    <w:rsid w:val="00724E18"/>
    <w:rsid w:val="00754DE4"/>
    <w:rsid w:val="00763193"/>
    <w:rsid w:val="00764A1F"/>
    <w:rsid w:val="007B454D"/>
    <w:rsid w:val="007C63D5"/>
    <w:rsid w:val="007C71CE"/>
    <w:rsid w:val="007D4AEE"/>
    <w:rsid w:val="007F749C"/>
    <w:rsid w:val="00803D1D"/>
    <w:rsid w:val="00871E51"/>
    <w:rsid w:val="008943B3"/>
    <w:rsid w:val="008A2771"/>
    <w:rsid w:val="008A2DF3"/>
    <w:rsid w:val="008A5836"/>
    <w:rsid w:val="008B1A16"/>
    <w:rsid w:val="008E7FA7"/>
    <w:rsid w:val="008F4A5D"/>
    <w:rsid w:val="00917644"/>
    <w:rsid w:val="009405A5"/>
    <w:rsid w:val="00940FB3"/>
    <w:rsid w:val="0094619B"/>
    <w:rsid w:val="009565AE"/>
    <w:rsid w:val="00991ABE"/>
    <w:rsid w:val="0099238B"/>
    <w:rsid w:val="00992CEE"/>
    <w:rsid w:val="009C6E09"/>
    <w:rsid w:val="009D5FB9"/>
    <w:rsid w:val="009F6990"/>
    <w:rsid w:val="00A358FC"/>
    <w:rsid w:val="00A74825"/>
    <w:rsid w:val="00A8695C"/>
    <w:rsid w:val="00A94C60"/>
    <w:rsid w:val="00AB468C"/>
    <w:rsid w:val="00AB5934"/>
    <w:rsid w:val="00AD5F18"/>
    <w:rsid w:val="00AE42DD"/>
    <w:rsid w:val="00B16619"/>
    <w:rsid w:val="00B322A9"/>
    <w:rsid w:val="00B3749F"/>
    <w:rsid w:val="00B800FC"/>
    <w:rsid w:val="00BE1CC9"/>
    <w:rsid w:val="00BF32B1"/>
    <w:rsid w:val="00C0734F"/>
    <w:rsid w:val="00C139F1"/>
    <w:rsid w:val="00C33A08"/>
    <w:rsid w:val="00C33E37"/>
    <w:rsid w:val="00C41F6A"/>
    <w:rsid w:val="00C65EFD"/>
    <w:rsid w:val="00C673D8"/>
    <w:rsid w:val="00C73786"/>
    <w:rsid w:val="00C81F19"/>
    <w:rsid w:val="00C83C14"/>
    <w:rsid w:val="00C8604C"/>
    <w:rsid w:val="00C97E2D"/>
    <w:rsid w:val="00CD4317"/>
    <w:rsid w:val="00CD5106"/>
    <w:rsid w:val="00CF50A4"/>
    <w:rsid w:val="00D07D83"/>
    <w:rsid w:val="00D415BD"/>
    <w:rsid w:val="00D72950"/>
    <w:rsid w:val="00D92D60"/>
    <w:rsid w:val="00DB070C"/>
    <w:rsid w:val="00DD7254"/>
    <w:rsid w:val="00DE1018"/>
    <w:rsid w:val="00E10E50"/>
    <w:rsid w:val="00E36B3D"/>
    <w:rsid w:val="00E656CF"/>
    <w:rsid w:val="00E7023F"/>
    <w:rsid w:val="00E977E4"/>
    <w:rsid w:val="00E97B1E"/>
    <w:rsid w:val="00EA38CC"/>
    <w:rsid w:val="00EC5F6A"/>
    <w:rsid w:val="00EE2D4B"/>
    <w:rsid w:val="00F10CF5"/>
    <w:rsid w:val="00F24F73"/>
    <w:rsid w:val="00F26BEC"/>
    <w:rsid w:val="00F31076"/>
    <w:rsid w:val="00F53FF0"/>
    <w:rsid w:val="00F671E2"/>
    <w:rsid w:val="00F72500"/>
    <w:rsid w:val="00F83601"/>
    <w:rsid w:val="00FA5F2B"/>
    <w:rsid w:val="00FD2879"/>
    <w:rsid w:val="00FE48DA"/>
    <w:rsid w:val="00FE5166"/>
    <w:rsid w:val="00FF4D03"/>
    <w:rsid w:val="0FAB1AD4"/>
    <w:rsid w:val="0FBB5E52"/>
    <w:rsid w:val="157E1A13"/>
    <w:rsid w:val="15AD0F7E"/>
    <w:rsid w:val="180A5AE9"/>
    <w:rsid w:val="21BAF9C7"/>
    <w:rsid w:val="27B6F479"/>
    <w:rsid w:val="31C5DE6B"/>
    <w:rsid w:val="339C77FC"/>
    <w:rsid w:val="391AADE0"/>
    <w:rsid w:val="3AEFC704"/>
    <w:rsid w:val="3D3533E7"/>
    <w:rsid w:val="43070444"/>
    <w:rsid w:val="46B3A7A2"/>
    <w:rsid w:val="4B4CF305"/>
    <w:rsid w:val="4C04209C"/>
    <w:rsid w:val="4DB86698"/>
    <w:rsid w:val="56100FC5"/>
    <w:rsid w:val="59545752"/>
    <w:rsid w:val="624AD6CC"/>
    <w:rsid w:val="630A2D46"/>
    <w:rsid w:val="641C0565"/>
    <w:rsid w:val="6463A91F"/>
    <w:rsid w:val="6D890D6A"/>
    <w:rsid w:val="72D4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4854"/>
  <w15:chartTrackingRefBased/>
  <w15:docId w15:val="{C7FF9A90-626A-40EF-8A14-D7A09807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9E"/>
    <w:rPr>
      <w:rFonts w:eastAsiaTheme="majorEastAsia" w:cstheme="majorBidi"/>
      <w:color w:val="272727" w:themeColor="text1" w:themeTint="D8"/>
    </w:rPr>
  </w:style>
  <w:style w:type="paragraph" w:styleId="Title">
    <w:name w:val="Title"/>
    <w:basedOn w:val="Normal"/>
    <w:next w:val="Normal"/>
    <w:link w:val="TitleChar"/>
    <w:uiPriority w:val="10"/>
    <w:qFormat/>
    <w:rsid w:val="003B1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9E"/>
    <w:pPr>
      <w:spacing w:before="160"/>
      <w:jc w:val="center"/>
    </w:pPr>
    <w:rPr>
      <w:i/>
      <w:iCs/>
      <w:color w:val="404040" w:themeColor="text1" w:themeTint="BF"/>
    </w:rPr>
  </w:style>
  <w:style w:type="character" w:customStyle="1" w:styleId="QuoteChar">
    <w:name w:val="Quote Char"/>
    <w:basedOn w:val="DefaultParagraphFont"/>
    <w:link w:val="Quote"/>
    <w:uiPriority w:val="29"/>
    <w:rsid w:val="003B159E"/>
    <w:rPr>
      <w:i/>
      <w:iCs/>
      <w:color w:val="404040" w:themeColor="text1" w:themeTint="BF"/>
    </w:rPr>
  </w:style>
  <w:style w:type="paragraph" w:styleId="ListParagraph">
    <w:name w:val="List Paragraph"/>
    <w:basedOn w:val="Normal"/>
    <w:uiPriority w:val="34"/>
    <w:qFormat/>
    <w:rsid w:val="003B159E"/>
    <w:pPr>
      <w:ind w:left="720"/>
      <w:contextualSpacing/>
    </w:pPr>
  </w:style>
  <w:style w:type="character" w:styleId="IntenseEmphasis">
    <w:name w:val="Intense Emphasis"/>
    <w:basedOn w:val="DefaultParagraphFont"/>
    <w:uiPriority w:val="21"/>
    <w:qFormat/>
    <w:rsid w:val="003B159E"/>
    <w:rPr>
      <w:i/>
      <w:iCs/>
      <w:color w:val="0F4761" w:themeColor="accent1" w:themeShade="BF"/>
    </w:rPr>
  </w:style>
  <w:style w:type="paragraph" w:styleId="IntenseQuote">
    <w:name w:val="Intense Quote"/>
    <w:basedOn w:val="Normal"/>
    <w:next w:val="Normal"/>
    <w:link w:val="IntenseQuoteChar"/>
    <w:uiPriority w:val="30"/>
    <w:qFormat/>
    <w:rsid w:val="003B1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59E"/>
    <w:rPr>
      <w:i/>
      <w:iCs/>
      <w:color w:val="0F4761" w:themeColor="accent1" w:themeShade="BF"/>
    </w:rPr>
  </w:style>
  <w:style w:type="character" w:styleId="IntenseReference">
    <w:name w:val="Intense Reference"/>
    <w:basedOn w:val="DefaultParagraphFont"/>
    <w:uiPriority w:val="32"/>
    <w:qFormat/>
    <w:rsid w:val="003B159E"/>
    <w:rPr>
      <w:b/>
      <w:bCs/>
      <w:smallCaps/>
      <w:color w:val="0F4761" w:themeColor="accent1" w:themeShade="BF"/>
      <w:spacing w:val="5"/>
    </w:rPr>
  </w:style>
  <w:style w:type="table" w:styleId="TableGrid">
    <w:name w:val="Table Grid"/>
    <w:basedOn w:val="TableNormal"/>
    <w:uiPriority w:val="39"/>
    <w:rsid w:val="000E6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D5F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5FB9"/>
  </w:style>
  <w:style w:type="paragraph" w:styleId="Footer">
    <w:name w:val="footer"/>
    <w:basedOn w:val="Normal"/>
    <w:link w:val="FooterChar"/>
    <w:uiPriority w:val="99"/>
    <w:semiHidden/>
    <w:unhideWhenUsed/>
    <w:rsid w:val="009D5F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5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4040a9-a7f0-4221-8930-47994d61526c">
      <Terms xmlns="http://schemas.microsoft.com/office/infopath/2007/PartnerControls"/>
    </lcf76f155ced4ddcb4097134ff3c332f>
    <TaxCatchAll xmlns="af66117f-7919-47ac-be66-08e25af4fef9" xsi:nil="true"/>
  </documentManagement>
</p:properties>
</file>

<file path=customXml/itemProps1.xml><?xml version="1.0" encoding="utf-8"?>
<ds:datastoreItem xmlns:ds="http://schemas.openxmlformats.org/officeDocument/2006/customXml" ds:itemID="{F8951D54-FADD-42D4-B747-06BD2F7A2568}">
  <ds:schemaRefs>
    <ds:schemaRef ds:uri="http://schemas.microsoft.com/sharepoint/v3/contenttype/forms"/>
  </ds:schemaRefs>
</ds:datastoreItem>
</file>

<file path=customXml/itemProps2.xml><?xml version="1.0" encoding="utf-8"?>
<ds:datastoreItem xmlns:ds="http://schemas.openxmlformats.org/officeDocument/2006/customXml" ds:itemID="{A7FEDC1A-365A-4622-88AE-8EAA61DF1858}"/>
</file>

<file path=customXml/itemProps3.xml><?xml version="1.0" encoding="utf-8"?>
<ds:datastoreItem xmlns:ds="http://schemas.openxmlformats.org/officeDocument/2006/customXml" ds:itemID="{E984D0BE-EC90-4C01-8D3A-D564FE4A7AB0}"/>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2282</Characters>
  <Application>Microsoft Office Word</Application>
  <DocSecurity>0</DocSecurity>
  <Lines>253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Troughton</dc:creator>
  <cp:keywords/>
  <dc:description/>
  <cp:lastModifiedBy>Dixon, Syrene</cp:lastModifiedBy>
  <cp:revision>11</cp:revision>
  <dcterms:created xsi:type="dcterms:W3CDTF">2025-06-19T14:23:00Z</dcterms:created>
  <dcterms:modified xsi:type="dcterms:W3CDTF">2025-11-18T11:26:00Z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