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9952B" w14:textId="3E62835F" w:rsidR="0018518C" w:rsidRPr="00086856" w:rsidRDefault="000E6061" w:rsidP="000E6061">
      <w:pPr>
        <w:jc w:val="center"/>
        <w:rPr>
          <w:b/>
          <w:bCs/>
          <w:u w:val="single"/>
        </w:rPr>
      </w:pPr>
      <w:r w:rsidRPr="00086856">
        <w:rPr>
          <w:b/>
          <w:bCs/>
          <w:u w:val="single"/>
        </w:rPr>
        <w:t xml:space="preserve">Curriculum </w:t>
      </w:r>
      <w:r w:rsidR="0FBB5E52" w:rsidRPr="00086856">
        <w:rPr>
          <w:b/>
          <w:bCs/>
          <w:u w:val="single"/>
        </w:rPr>
        <w:t>Map 2025 2026</w:t>
      </w:r>
    </w:p>
    <w:tbl>
      <w:tblPr>
        <w:tblStyle w:val="TableGrid"/>
        <w:tblW w:w="0" w:type="auto"/>
        <w:tblLook w:val="04A0" w:firstRow="1" w:lastRow="0" w:firstColumn="1" w:lastColumn="0" w:noHBand="0" w:noVBand="1"/>
      </w:tblPr>
      <w:tblGrid>
        <w:gridCol w:w="1089"/>
        <w:gridCol w:w="1470"/>
        <w:gridCol w:w="1371"/>
        <w:gridCol w:w="1371"/>
        <w:gridCol w:w="1776"/>
        <w:gridCol w:w="2029"/>
        <w:gridCol w:w="2029"/>
        <w:gridCol w:w="2029"/>
        <w:gridCol w:w="784"/>
      </w:tblGrid>
      <w:tr w:rsidR="0066563C" w14:paraId="7C62EBE8" w14:textId="77777777" w:rsidTr="0FAB1AD4">
        <w:trPr>
          <w:trHeight w:val="405"/>
        </w:trPr>
        <w:tc>
          <w:tcPr>
            <w:tcW w:w="1470" w:type="dxa"/>
          </w:tcPr>
          <w:p w14:paraId="4E65DBFA" w14:textId="77777777" w:rsidR="4B4CF305" w:rsidRDefault="4B4CF305"/>
        </w:tc>
        <w:tc>
          <w:tcPr>
            <w:tcW w:w="1572" w:type="dxa"/>
          </w:tcPr>
          <w:p w14:paraId="262E7063" w14:textId="2E562974" w:rsidR="4B4CF305" w:rsidRDefault="4B4CF305">
            <w:r>
              <w:t>Week 1</w:t>
            </w:r>
          </w:p>
        </w:tc>
        <w:tc>
          <w:tcPr>
            <w:tcW w:w="1572" w:type="dxa"/>
          </w:tcPr>
          <w:p w14:paraId="4E4D0835" w14:textId="5C04DD77" w:rsidR="4B4CF305" w:rsidRDefault="4B4CF305">
            <w:r>
              <w:t>Week 2</w:t>
            </w:r>
          </w:p>
        </w:tc>
        <w:tc>
          <w:tcPr>
            <w:tcW w:w="1572" w:type="dxa"/>
          </w:tcPr>
          <w:p w14:paraId="4D8B0E6E" w14:textId="032FE610" w:rsidR="4B4CF305" w:rsidRDefault="4B4CF305">
            <w:r>
              <w:t>Week 3</w:t>
            </w:r>
          </w:p>
        </w:tc>
        <w:tc>
          <w:tcPr>
            <w:tcW w:w="1573" w:type="dxa"/>
          </w:tcPr>
          <w:p w14:paraId="40A3C18C" w14:textId="01ED43BF" w:rsidR="4B4CF305" w:rsidRDefault="4B4CF305">
            <w:r>
              <w:t>Week 4</w:t>
            </w:r>
          </w:p>
        </w:tc>
        <w:tc>
          <w:tcPr>
            <w:tcW w:w="1573" w:type="dxa"/>
          </w:tcPr>
          <w:p w14:paraId="274C5788" w14:textId="780294FA" w:rsidR="4B4CF305" w:rsidRDefault="4B4CF305">
            <w:r>
              <w:t xml:space="preserve">Week 5 </w:t>
            </w:r>
          </w:p>
        </w:tc>
        <w:tc>
          <w:tcPr>
            <w:tcW w:w="1573" w:type="dxa"/>
          </w:tcPr>
          <w:p w14:paraId="2A18366E" w14:textId="111C5BEE" w:rsidR="4B4CF305" w:rsidRDefault="4B4CF305">
            <w:r>
              <w:t xml:space="preserve">Week 6 </w:t>
            </w:r>
          </w:p>
        </w:tc>
        <w:tc>
          <w:tcPr>
            <w:tcW w:w="1573" w:type="dxa"/>
          </w:tcPr>
          <w:p w14:paraId="02DB806A" w14:textId="7556C372" w:rsidR="4B4CF305" w:rsidRDefault="4B4CF305">
            <w:r>
              <w:t xml:space="preserve">Week 7 </w:t>
            </w:r>
          </w:p>
        </w:tc>
        <w:tc>
          <w:tcPr>
            <w:tcW w:w="1470" w:type="dxa"/>
          </w:tcPr>
          <w:p w14:paraId="194FCD6B" w14:textId="2E55CBD2" w:rsidR="4B4CF305" w:rsidRDefault="4B4CF305">
            <w:r>
              <w:t>Week 8</w:t>
            </w:r>
          </w:p>
        </w:tc>
      </w:tr>
      <w:tr w:rsidR="4B4CF305" w14:paraId="75EAB96B" w14:textId="77777777" w:rsidTr="0FAB1AD4">
        <w:trPr>
          <w:trHeight w:val="300"/>
        </w:trPr>
        <w:tc>
          <w:tcPr>
            <w:tcW w:w="1470" w:type="dxa"/>
            <w:shd w:val="clear" w:color="auto" w:fill="FAE2D5" w:themeFill="accent2" w:themeFillTint="33"/>
          </w:tcPr>
          <w:p w14:paraId="3109127E" w14:textId="196846A4" w:rsidR="4B4CF305" w:rsidRDefault="4B4CF305">
            <w:r>
              <w:t>Autumn 1</w:t>
            </w:r>
          </w:p>
        </w:tc>
        <w:tc>
          <w:tcPr>
            <w:tcW w:w="12478" w:type="dxa"/>
            <w:gridSpan w:val="8"/>
            <w:shd w:val="clear" w:color="auto" w:fill="FAE2D5" w:themeFill="accent2" w:themeFillTint="33"/>
          </w:tcPr>
          <w:p w14:paraId="0D8C1359" w14:textId="219E54E6" w:rsidR="4B4CF305" w:rsidRDefault="00C46A34">
            <w:r w:rsidRPr="00C46A34">
              <w:t>This half term, students will learn about different types of chemical reactions, including exothermic and endothermic changes, and how energy is transferred in chemical processes. They will also begin exploring how organisms rely on respiration and photosynthesis to survive within ecosystems.</w:t>
            </w:r>
          </w:p>
        </w:tc>
      </w:tr>
      <w:tr w:rsidR="0066563C" w14:paraId="6BD470C9" w14:textId="77777777" w:rsidTr="0FAB1AD4">
        <w:trPr>
          <w:trHeight w:val="300"/>
        </w:trPr>
        <w:tc>
          <w:tcPr>
            <w:tcW w:w="1470" w:type="dxa"/>
          </w:tcPr>
          <w:p w14:paraId="51A5A723" w14:textId="5680EB0F" w:rsidR="009405A5" w:rsidRDefault="339C77FC">
            <w:r>
              <w:t>Unit</w:t>
            </w:r>
          </w:p>
        </w:tc>
        <w:tc>
          <w:tcPr>
            <w:tcW w:w="1572" w:type="dxa"/>
          </w:tcPr>
          <w:p w14:paraId="25AD1F8F" w14:textId="4C821D1E" w:rsidR="4B4CF305" w:rsidRDefault="00350833">
            <w:r>
              <w:t>Introduction and baselines</w:t>
            </w:r>
          </w:p>
        </w:tc>
        <w:tc>
          <w:tcPr>
            <w:tcW w:w="1572" w:type="dxa"/>
          </w:tcPr>
          <w:p w14:paraId="38824128" w14:textId="7B120547" w:rsidR="4B4CF305" w:rsidRDefault="00834E2D">
            <w:r>
              <w:t>Reactions – chemical e</w:t>
            </w:r>
            <w:r w:rsidR="00DB76B8">
              <w:t>nergy and types of reactions</w:t>
            </w:r>
          </w:p>
        </w:tc>
        <w:tc>
          <w:tcPr>
            <w:tcW w:w="1572" w:type="dxa"/>
          </w:tcPr>
          <w:p w14:paraId="7F8DD03A" w14:textId="7034B4A0" w:rsidR="4B4CF305" w:rsidRDefault="00DB76B8">
            <w:r>
              <w:t>Reactions – chemical energy and types of reactions</w:t>
            </w:r>
          </w:p>
        </w:tc>
        <w:tc>
          <w:tcPr>
            <w:tcW w:w="1573" w:type="dxa"/>
          </w:tcPr>
          <w:p w14:paraId="52188729" w14:textId="54537492" w:rsidR="4B4CF305" w:rsidRDefault="00DB76B8">
            <w:r>
              <w:t>Ecosystems – respiration and photosynthesis</w:t>
            </w:r>
          </w:p>
        </w:tc>
        <w:tc>
          <w:tcPr>
            <w:tcW w:w="1573" w:type="dxa"/>
          </w:tcPr>
          <w:p w14:paraId="57099862" w14:textId="4FAE8B6A" w:rsidR="4B4CF305" w:rsidRDefault="00DB76B8">
            <w:r>
              <w:t>Ecosystems – respiration and photosynthesis</w:t>
            </w:r>
          </w:p>
        </w:tc>
        <w:tc>
          <w:tcPr>
            <w:tcW w:w="1573" w:type="dxa"/>
          </w:tcPr>
          <w:p w14:paraId="1758A8E8" w14:textId="5B9DC5AC" w:rsidR="4B4CF305" w:rsidRDefault="00DB76B8">
            <w:r>
              <w:t>Ecosystems – respiration and photosynthesis</w:t>
            </w:r>
          </w:p>
        </w:tc>
        <w:tc>
          <w:tcPr>
            <w:tcW w:w="1573" w:type="dxa"/>
          </w:tcPr>
          <w:p w14:paraId="11F537E8" w14:textId="1BBA06A4" w:rsidR="4B4CF305" w:rsidRDefault="00871E51">
            <w:r>
              <w:t>Assessment/Data Check</w:t>
            </w:r>
          </w:p>
        </w:tc>
        <w:tc>
          <w:tcPr>
            <w:tcW w:w="1470" w:type="dxa"/>
            <w:shd w:val="clear" w:color="auto" w:fill="A6A6A6" w:themeFill="background1" w:themeFillShade="A6"/>
          </w:tcPr>
          <w:p w14:paraId="5B14FD1E" w14:textId="77777777" w:rsidR="4B4CF305" w:rsidRDefault="4B4CF305"/>
        </w:tc>
      </w:tr>
      <w:tr w:rsidR="4B4CF305" w14:paraId="6DBC7C57" w14:textId="77777777" w:rsidTr="0FAB1AD4">
        <w:trPr>
          <w:trHeight w:val="300"/>
        </w:trPr>
        <w:tc>
          <w:tcPr>
            <w:tcW w:w="1470" w:type="dxa"/>
            <w:shd w:val="clear" w:color="auto" w:fill="FAE2D5" w:themeFill="accent2" w:themeFillTint="33"/>
          </w:tcPr>
          <w:p w14:paraId="3D8A8E59" w14:textId="09C808D2" w:rsidR="4B4CF305" w:rsidRDefault="4B4CF305">
            <w:r>
              <w:t>Autumn 2</w:t>
            </w:r>
          </w:p>
        </w:tc>
        <w:tc>
          <w:tcPr>
            <w:tcW w:w="12478" w:type="dxa"/>
            <w:gridSpan w:val="8"/>
            <w:shd w:val="clear" w:color="auto" w:fill="FAE2D5" w:themeFill="accent2" w:themeFillTint="33"/>
          </w:tcPr>
          <w:p w14:paraId="1543F24C" w14:textId="38BBB371" w:rsidR="4B4CF305" w:rsidRDefault="0013573A">
            <w:r w:rsidRPr="0013573A">
              <w:t>This half term, students will deepen their understanding of energy by exploring how it is transferred through work, heating, and cooling. They will also investigate the Earth's climate system, considering human impact and natural factors that drive climate change.</w:t>
            </w:r>
          </w:p>
        </w:tc>
      </w:tr>
      <w:tr w:rsidR="0066563C" w14:paraId="5203530C" w14:textId="77777777" w:rsidTr="0FAB1AD4">
        <w:trPr>
          <w:trHeight w:val="300"/>
        </w:trPr>
        <w:tc>
          <w:tcPr>
            <w:tcW w:w="1470" w:type="dxa"/>
          </w:tcPr>
          <w:p w14:paraId="6037D5FE" w14:textId="0AA82FE3" w:rsidR="009405A5" w:rsidRDefault="00177E88">
            <w:r>
              <w:t>Unit</w:t>
            </w:r>
          </w:p>
        </w:tc>
        <w:tc>
          <w:tcPr>
            <w:tcW w:w="1572" w:type="dxa"/>
          </w:tcPr>
          <w:p w14:paraId="2232F564" w14:textId="77777777" w:rsidR="4B4CF305" w:rsidRDefault="4B4CF305"/>
          <w:p w14:paraId="69C98B8D" w14:textId="52BF99B1" w:rsidR="4B4CF305" w:rsidRDefault="00A30970">
            <w:r>
              <w:t>Energy – work and heating and cooling</w:t>
            </w:r>
          </w:p>
        </w:tc>
        <w:tc>
          <w:tcPr>
            <w:tcW w:w="1572" w:type="dxa"/>
          </w:tcPr>
          <w:p w14:paraId="363163BC" w14:textId="77777777" w:rsidR="00A30970" w:rsidRDefault="00A30970" w:rsidP="00A30970"/>
          <w:p w14:paraId="099537E0" w14:textId="1FCBEB28" w:rsidR="4B4CF305" w:rsidRDefault="00A30970" w:rsidP="00A30970">
            <w:r>
              <w:t>Energy – work and heating and cooling</w:t>
            </w:r>
          </w:p>
        </w:tc>
        <w:tc>
          <w:tcPr>
            <w:tcW w:w="1572" w:type="dxa"/>
          </w:tcPr>
          <w:p w14:paraId="6FD00495" w14:textId="77777777" w:rsidR="00A30970" w:rsidRDefault="00A30970" w:rsidP="00A30970"/>
          <w:p w14:paraId="0AB2677D" w14:textId="1A4CB2C2" w:rsidR="4B4CF305" w:rsidRDefault="00A30970" w:rsidP="00A30970">
            <w:r>
              <w:t>Energy – work and heating and cooling</w:t>
            </w:r>
          </w:p>
        </w:tc>
        <w:tc>
          <w:tcPr>
            <w:tcW w:w="1573" w:type="dxa"/>
          </w:tcPr>
          <w:p w14:paraId="566692AD" w14:textId="2C9D3837" w:rsidR="4B4CF305" w:rsidRDefault="00AA478C">
            <w:r>
              <w:t>Earth – climate</w:t>
            </w:r>
          </w:p>
        </w:tc>
        <w:tc>
          <w:tcPr>
            <w:tcW w:w="1573" w:type="dxa"/>
          </w:tcPr>
          <w:p w14:paraId="51FEF865" w14:textId="1CC51587" w:rsidR="4B4CF305" w:rsidRDefault="00AA478C">
            <w:r>
              <w:t>Earth – climate</w:t>
            </w:r>
          </w:p>
        </w:tc>
        <w:tc>
          <w:tcPr>
            <w:tcW w:w="1573" w:type="dxa"/>
          </w:tcPr>
          <w:p w14:paraId="3760AD52" w14:textId="1C75C9CF" w:rsidR="4B4CF305" w:rsidRDefault="00AA478C">
            <w:r>
              <w:t>Earth – climate</w:t>
            </w:r>
          </w:p>
        </w:tc>
        <w:tc>
          <w:tcPr>
            <w:tcW w:w="1573" w:type="dxa"/>
          </w:tcPr>
          <w:p w14:paraId="3B814418" w14:textId="6B76DCE7" w:rsidR="4B4CF305" w:rsidRDefault="00C97E2D">
            <w:r>
              <w:t>Revision, assessment and gap fill</w:t>
            </w:r>
          </w:p>
        </w:tc>
        <w:tc>
          <w:tcPr>
            <w:tcW w:w="1470" w:type="dxa"/>
            <w:shd w:val="clear" w:color="auto" w:fill="A6A6A6" w:themeFill="background1" w:themeFillShade="A6"/>
          </w:tcPr>
          <w:p w14:paraId="6629CFA0" w14:textId="77777777" w:rsidR="4B4CF305" w:rsidRDefault="4B4CF305"/>
        </w:tc>
      </w:tr>
      <w:tr w:rsidR="4B4CF305" w14:paraId="1DEE7ECE" w14:textId="77777777" w:rsidTr="0FAB1AD4">
        <w:trPr>
          <w:trHeight w:val="300"/>
        </w:trPr>
        <w:tc>
          <w:tcPr>
            <w:tcW w:w="1470" w:type="dxa"/>
            <w:shd w:val="clear" w:color="auto" w:fill="C1F0C7" w:themeFill="accent3" w:themeFillTint="33"/>
          </w:tcPr>
          <w:p w14:paraId="57586A05" w14:textId="642644CB" w:rsidR="4B4CF305" w:rsidRDefault="4B4CF305">
            <w:r>
              <w:t>Spring 1</w:t>
            </w:r>
          </w:p>
        </w:tc>
        <w:tc>
          <w:tcPr>
            <w:tcW w:w="12478" w:type="dxa"/>
            <w:gridSpan w:val="8"/>
            <w:shd w:val="clear" w:color="auto" w:fill="C1F0C7" w:themeFill="accent3" w:themeFillTint="33"/>
          </w:tcPr>
          <w:p w14:paraId="269E18B2" w14:textId="2AEE2A24" w:rsidR="4B4CF305" w:rsidRDefault="0013573A" w:rsidP="4B4CF305">
            <w:pPr>
              <w:rPr>
                <w:rFonts w:ascii="Calibri" w:hAnsi="Calibri" w:cs="Calibri"/>
              </w:rPr>
            </w:pPr>
            <w:r w:rsidRPr="0013573A">
              <w:rPr>
                <w:rFonts w:ascii="Calibri" w:hAnsi="Calibri" w:cs="Calibri"/>
              </w:rPr>
              <w:t>This half term, students will explore the Earth's resources, learning about how they are extracted, used, and managed sustainably. Later in the term, they will begin to study evolution, examining the evidence for natural selection and how species adapt over time.</w:t>
            </w:r>
          </w:p>
        </w:tc>
      </w:tr>
      <w:tr w:rsidR="0066563C" w14:paraId="25723EAF" w14:textId="77777777" w:rsidTr="0FAB1AD4">
        <w:trPr>
          <w:trHeight w:val="300"/>
        </w:trPr>
        <w:tc>
          <w:tcPr>
            <w:tcW w:w="1470" w:type="dxa"/>
          </w:tcPr>
          <w:p w14:paraId="152E7D80" w14:textId="409BB8B2" w:rsidR="009405A5" w:rsidRDefault="00177E88">
            <w:r>
              <w:t>Unit</w:t>
            </w:r>
          </w:p>
        </w:tc>
        <w:tc>
          <w:tcPr>
            <w:tcW w:w="1572" w:type="dxa"/>
          </w:tcPr>
          <w:p w14:paraId="676B81D1" w14:textId="08A6CCDC" w:rsidR="4B4CF305" w:rsidRDefault="00AA478C">
            <w:r>
              <w:t>Earth – Earths resources</w:t>
            </w:r>
          </w:p>
          <w:p w14:paraId="481849D8" w14:textId="1725308C" w:rsidR="4B4CF305" w:rsidRDefault="4B4CF305"/>
        </w:tc>
        <w:tc>
          <w:tcPr>
            <w:tcW w:w="1572" w:type="dxa"/>
          </w:tcPr>
          <w:p w14:paraId="4B598B62" w14:textId="77777777" w:rsidR="00AA478C" w:rsidRDefault="00AA478C" w:rsidP="00AA478C">
            <w:r>
              <w:t>Earth – Earths resources</w:t>
            </w:r>
          </w:p>
          <w:p w14:paraId="200EBF88" w14:textId="249F87B0" w:rsidR="4B4CF305" w:rsidRDefault="4B4CF305"/>
        </w:tc>
        <w:tc>
          <w:tcPr>
            <w:tcW w:w="1572" w:type="dxa"/>
          </w:tcPr>
          <w:p w14:paraId="3D3AAB65" w14:textId="77777777" w:rsidR="00AA478C" w:rsidRDefault="00AA478C" w:rsidP="00AA478C">
            <w:r>
              <w:t>Earth – Earths resources</w:t>
            </w:r>
          </w:p>
          <w:p w14:paraId="7F829F67" w14:textId="52CD2F61" w:rsidR="4B4CF305" w:rsidRDefault="4B4CF305"/>
        </w:tc>
        <w:tc>
          <w:tcPr>
            <w:tcW w:w="1573" w:type="dxa"/>
          </w:tcPr>
          <w:p w14:paraId="73505C1A" w14:textId="6E3A6FAB" w:rsidR="4B4CF305" w:rsidRDefault="00A15456">
            <w:r>
              <w:t>Genes – Evolution</w:t>
            </w:r>
          </w:p>
        </w:tc>
        <w:tc>
          <w:tcPr>
            <w:tcW w:w="1573" w:type="dxa"/>
          </w:tcPr>
          <w:p w14:paraId="71B5A468" w14:textId="3DEF1A11" w:rsidR="4B4CF305" w:rsidRDefault="00A15456">
            <w:r>
              <w:t>Genes – Evolution</w:t>
            </w:r>
          </w:p>
        </w:tc>
        <w:tc>
          <w:tcPr>
            <w:tcW w:w="1573" w:type="dxa"/>
          </w:tcPr>
          <w:p w14:paraId="45E3344F" w14:textId="7B96BA1C" w:rsidR="00F72500" w:rsidRDefault="0066563C" w:rsidP="00F72500">
            <w:r>
              <w:t>Assessment/Data check</w:t>
            </w:r>
          </w:p>
          <w:p w14:paraId="7ADAAA9C" w14:textId="5D209439" w:rsidR="4B4CF305" w:rsidRDefault="4B4CF305"/>
        </w:tc>
        <w:tc>
          <w:tcPr>
            <w:tcW w:w="1573" w:type="dxa"/>
            <w:shd w:val="clear" w:color="auto" w:fill="A6A6A6" w:themeFill="background1" w:themeFillShade="A6"/>
          </w:tcPr>
          <w:p w14:paraId="68DB4E25" w14:textId="77777777" w:rsidR="4B4CF305" w:rsidRDefault="4B4CF305"/>
        </w:tc>
        <w:tc>
          <w:tcPr>
            <w:tcW w:w="1470" w:type="dxa"/>
            <w:shd w:val="clear" w:color="auto" w:fill="A6A6A6" w:themeFill="background1" w:themeFillShade="A6"/>
          </w:tcPr>
          <w:p w14:paraId="76ECF2AC" w14:textId="77777777" w:rsidR="4B4CF305" w:rsidRDefault="4B4CF305"/>
        </w:tc>
      </w:tr>
      <w:tr w:rsidR="4B4CF305" w14:paraId="7E358A9A" w14:textId="77777777" w:rsidTr="0FAB1AD4">
        <w:trPr>
          <w:trHeight w:val="300"/>
        </w:trPr>
        <w:tc>
          <w:tcPr>
            <w:tcW w:w="1470" w:type="dxa"/>
            <w:shd w:val="clear" w:color="auto" w:fill="C1F0C7" w:themeFill="accent3" w:themeFillTint="33"/>
          </w:tcPr>
          <w:p w14:paraId="6F439789" w14:textId="08D92207" w:rsidR="4B4CF305" w:rsidRDefault="4B4CF305">
            <w:r>
              <w:lastRenderedPageBreak/>
              <w:t>Spring 2</w:t>
            </w:r>
          </w:p>
        </w:tc>
        <w:tc>
          <w:tcPr>
            <w:tcW w:w="12478" w:type="dxa"/>
            <w:gridSpan w:val="8"/>
            <w:shd w:val="clear" w:color="auto" w:fill="C1F0C7" w:themeFill="accent3" w:themeFillTint="33"/>
          </w:tcPr>
          <w:p w14:paraId="7C0FF7EF" w14:textId="4DAF8BBD" w:rsidR="4B4CF305" w:rsidRDefault="006A2A1C">
            <w:r w:rsidRPr="006A2A1C">
              <w:t>This half term, students will study inheritance by learning how genetic information is passed from one generation to the next. They will also explore the effects of waves, such as light and sound, and how these phenomena interact with matter.</w:t>
            </w:r>
          </w:p>
        </w:tc>
      </w:tr>
      <w:tr w:rsidR="00F72500" w14:paraId="67E2965A" w14:textId="77777777" w:rsidTr="0FAB1AD4">
        <w:trPr>
          <w:trHeight w:val="300"/>
        </w:trPr>
        <w:tc>
          <w:tcPr>
            <w:tcW w:w="1470" w:type="dxa"/>
          </w:tcPr>
          <w:p w14:paraId="7A5780C1" w14:textId="31094C72" w:rsidR="009405A5" w:rsidRDefault="00177E88">
            <w:r>
              <w:t>Unit</w:t>
            </w:r>
          </w:p>
        </w:tc>
        <w:tc>
          <w:tcPr>
            <w:tcW w:w="1572" w:type="dxa"/>
          </w:tcPr>
          <w:p w14:paraId="72C1F6DF" w14:textId="3254A4D8" w:rsidR="4B4CF305" w:rsidRDefault="0062610F">
            <w:r>
              <w:t>Genes – inheritance</w:t>
            </w:r>
          </w:p>
          <w:p w14:paraId="4057A6CA" w14:textId="1CB19643" w:rsidR="4B4CF305" w:rsidRDefault="4B4CF305"/>
        </w:tc>
        <w:tc>
          <w:tcPr>
            <w:tcW w:w="1572" w:type="dxa"/>
          </w:tcPr>
          <w:p w14:paraId="2169039E" w14:textId="77777777" w:rsidR="0062610F" w:rsidRDefault="0062610F" w:rsidP="0062610F">
            <w:r>
              <w:t>Genes – inheritance</w:t>
            </w:r>
          </w:p>
          <w:p w14:paraId="139D9237" w14:textId="108D38FE" w:rsidR="4B4CF305" w:rsidRDefault="4B4CF305"/>
        </w:tc>
        <w:tc>
          <w:tcPr>
            <w:tcW w:w="1572" w:type="dxa"/>
          </w:tcPr>
          <w:p w14:paraId="6A1B8843" w14:textId="77777777" w:rsidR="0062610F" w:rsidRDefault="0062610F" w:rsidP="0062610F">
            <w:r>
              <w:t>Genes – inheritance</w:t>
            </w:r>
          </w:p>
          <w:p w14:paraId="748FD444" w14:textId="5D0D8105" w:rsidR="4B4CF305" w:rsidRDefault="4B4CF305"/>
        </w:tc>
        <w:tc>
          <w:tcPr>
            <w:tcW w:w="1573" w:type="dxa"/>
          </w:tcPr>
          <w:p w14:paraId="506AE3C0" w14:textId="14CF7041" w:rsidR="4B4CF305" w:rsidRDefault="0062610F">
            <w:r>
              <w:t>Waves – effects</w:t>
            </w:r>
          </w:p>
        </w:tc>
        <w:tc>
          <w:tcPr>
            <w:tcW w:w="1573" w:type="dxa"/>
          </w:tcPr>
          <w:p w14:paraId="5E8F333A" w14:textId="77777777" w:rsidR="0066563C" w:rsidRDefault="0066563C" w:rsidP="0066563C">
            <w:r>
              <w:t>Assessment/Data check</w:t>
            </w:r>
          </w:p>
          <w:p w14:paraId="743103ED" w14:textId="59C88787" w:rsidR="4B4CF305" w:rsidRDefault="4B4CF305"/>
        </w:tc>
        <w:tc>
          <w:tcPr>
            <w:tcW w:w="1573" w:type="dxa"/>
            <w:shd w:val="clear" w:color="auto" w:fill="A6A6A6" w:themeFill="background1" w:themeFillShade="A6"/>
          </w:tcPr>
          <w:p w14:paraId="1B964DDE" w14:textId="6A25F881" w:rsidR="4B4CF305" w:rsidRDefault="4B4CF305"/>
        </w:tc>
        <w:tc>
          <w:tcPr>
            <w:tcW w:w="1573" w:type="dxa"/>
            <w:shd w:val="clear" w:color="auto" w:fill="A6A6A6" w:themeFill="background1" w:themeFillShade="A6"/>
          </w:tcPr>
          <w:p w14:paraId="6228E3FF" w14:textId="77777777" w:rsidR="4B4CF305" w:rsidRDefault="4B4CF305"/>
        </w:tc>
        <w:tc>
          <w:tcPr>
            <w:tcW w:w="1470" w:type="dxa"/>
            <w:shd w:val="clear" w:color="auto" w:fill="A6A6A6" w:themeFill="background1" w:themeFillShade="A6"/>
          </w:tcPr>
          <w:p w14:paraId="37FBC8B4" w14:textId="77777777" w:rsidR="4B4CF305" w:rsidRDefault="4B4CF305"/>
        </w:tc>
      </w:tr>
      <w:tr w:rsidR="4B4CF305" w14:paraId="55BB759A" w14:textId="77777777" w:rsidTr="0FAB1AD4">
        <w:trPr>
          <w:trHeight w:val="300"/>
        </w:trPr>
        <w:tc>
          <w:tcPr>
            <w:tcW w:w="1470" w:type="dxa"/>
            <w:shd w:val="clear" w:color="auto" w:fill="FFFFCC"/>
          </w:tcPr>
          <w:p w14:paraId="49C4B875" w14:textId="67DE15CF" w:rsidR="4B4CF305" w:rsidRDefault="4B4CF305">
            <w:r>
              <w:t>Summer 1</w:t>
            </w:r>
          </w:p>
        </w:tc>
        <w:tc>
          <w:tcPr>
            <w:tcW w:w="12478" w:type="dxa"/>
            <w:gridSpan w:val="8"/>
            <w:shd w:val="clear" w:color="auto" w:fill="FFFFCC"/>
          </w:tcPr>
          <w:p w14:paraId="6825C5A0" w14:textId="338DF747" w:rsidR="4B4CF305" w:rsidRDefault="006A2A1C">
            <w:r w:rsidRPr="006A2A1C">
              <w:t>This half term, students will continue their study of waves by investigating their properties, including amplitude, frequency, and wavelength. They will apply this knowledge to real-world contexts such as communication and medical technologies.</w:t>
            </w:r>
          </w:p>
        </w:tc>
      </w:tr>
      <w:tr w:rsidR="0066563C" w14:paraId="3C54243E" w14:textId="77777777" w:rsidTr="0FAB1AD4">
        <w:trPr>
          <w:trHeight w:val="300"/>
        </w:trPr>
        <w:tc>
          <w:tcPr>
            <w:tcW w:w="1470" w:type="dxa"/>
          </w:tcPr>
          <w:p w14:paraId="511E6C91" w14:textId="4CC68BB4" w:rsidR="009405A5" w:rsidRDefault="00177E88">
            <w:r>
              <w:t>Unit</w:t>
            </w:r>
          </w:p>
        </w:tc>
        <w:tc>
          <w:tcPr>
            <w:tcW w:w="1572" w:type="dxa"/>
          </w:tcPr>
          <w:p w14:paraId="3C9FA507" w14:textId="3993FF0C" w:rsidR="4B4CF305" w:rsidRDefault="0062610F">
            <w:r>
              <w:t xml:space="preserve">Waves – effects </w:t>
            </w:r>
          </w:p>
        </w:tc>
        <w:tc>
          <w:tcPr>
            <w:tcW w:w="1572" w:type="dxa"/>
          </w:tcPr>
          <w:p w14:paraId="1FFB5D29" w14:textId="2012B1AC" w:rsidR="4B4CF305" w:rsidRDefault="0062610F">
            <w:r>
              <w:t xml:space="preserve">Waves – effects </w:t>
            </w:r>
          </w:p>
        </w:tc>
        <w:tc>
          <w:tcPr>
            <w:tcW w:w="1572" w:type="dxa"/>
          </w:tcPr>
          <w:p w14:paraId="021BBF0F" w14:textId="69FEDC12" w:rsidR="0060014E" w:rsidRDefault="00900B24" w:rsidP="0060014E">
            <w:r>
              <w:t>Waves – properties</w:t>
            </w:r>
          </w:p>
          <w:p w14:paraId="02087866" w14:textId="568518E3" w:rsidR="4B4CF305" w:rsidRDefault="4B4CF305"/>
        </w:tc>
        <w:tc>
          <w:tcPr>
            <w:tcW w:w="1573" w:type="dxa"/>
          </w:tcPr>
          <w:p w14:paraId="0FAD8F4E" w14:textId="77777777" w:rsidR="00900B24" w:rsidRDefault="00900B24" w:rsidP="00900B24">
            <w:r>
              <w:t>Waves – properties</w:t>
            </w:r>
          </w:p>
          <w:p w14:paraId="025522D5" w14:textId="41C0774D" w:rsidR="4B4CF305" w:rsidRDefault="4B4CF305"/>
        </w:tc>
        <w:tc>
          <w:tcPr>
            <w:tcW w:w="1573" w:type="dxa"/>
          </w:tcPr>
          <w:p w14:paraId="435EFBB1" w14:textId="77777777" w:rsidR="00900B24" w:rsidRDefault="00900B24" w:rsidP="00900B24">
            <w:r>
              <w:t>Waves – properties</w:t>
            </w:r>
          </w:p>
          <w:p w14:paraId="28A20813" w14:textId="35A62ED2" w:rsidR="4B4CF305" w:rsidRDefault="4B4CF305"/>
        </w:tc>
        <w:tc>
          <w:tcPr>
            <w:tcW w:w="1573" w:type="dxa"/>
          </w:tcPr>
          <w:p w14:paraId="6301DE97" w14:textId="77777777" w:rsidR="4B4CF305" w:rsidRDefault="0067192D">
            <w:r>
              <w:t>Assessment-Data collection</w:t>
            </w:r>
          </w:p>
          <w:p w14:paraId="01EE592F" w14:textId="36D53AEC" w:rsidR="0067192D" w:rsidRDefault="0067192D"/>
        </w:tc>
        <w:tc>
          <w:tcPr>
            <w:tcW w:w="1573" w:type="dxa"/>
            <w:shd w:val="clear" w:color="auto" w:fill="A6A6A6" w:themeFill="background1" w:themeFillShade="A6"/>
          </w:tcPr>
          <w:p w14:paraId="2F8E7A8A" w14:textId="77777777" w:rsidR="4B4CF305" w:rsidRDefault="4B4CF305"/>
        </w:tc>
        <w:tc>
          <w:tcPr>
            <w:tcW w:w="1470" w:type="dxa"/>
            <w:shd w:val="clear" w:color="auto" w:fill="A6A6A6" w:themeFill="background1" w:themeFillShade="A6"/>
          </w:tcPr>
          <w:p w14:paraId="47D644CE" w14:textId="77777777" w:rsidR="4B4CF305" w:rsidRDefault="4B4CF305"/>
        </w:tc>
      </w:tr>
      <w:tr w:rsidR="4B4CF305" w14:paraId="5A20962C" w14:textId="77777777" w:rsidTr="0FAB1AD4">
        <w:trPr>
          <w:trHeight w:val="300"/>
        </w:trPr>
        <w:tc>
          <w:tcPr>
            <w:tcW w:w="1470" w:type="dxa"/>
            <w:shd w:val="clear" w:color="auto" w:fill="FFFFCC"/>
          </w:tcPr>
          <w:p w14:paraId="30F3CEAD" w14:textId="0D44FBD5" w:rsidR="4B4CF305" w:rsidRDefault="4B4CF305">
            <w:r>
              <w:t>Summer 2</w:t>
            </w:r>
          </w:p>
        </w:tc>
        <w:tc>
          <w:tcPr>
            <w:tcW w:w="12478" w:type="dxa"/>
            <w:gridSpan w:val="8"/>
            <w:shd w:val="clear" w:color="auto" w:fill="FFFFCC"/>
          </w:tcPr>
          <w:p w14:paraId="5F9B9EB4" w14:textId="6FC559E7" w:rsidR="4B4CF305" w:rsidRPr="0014763E" w:rsidRDefault="0014763E">
            <w:r w:rsidRPr="0014763E">
              <w:t>This half term, students will begin preparing for the transition to KS4 science, building on prior knowledge and exploring topics linked to their chosen options. They will also take part in enrichment activities designed to broaden their scientific thinking and skills.</w:t>
            </w:r>
          </w:p>
        </w:tc>
      </w:tr>
      <w:tr w:rsidR="0066563C" w14:paraId="2474AB0C" w14:textId="77777777" w:rsidTr="0FAB1AD4">
        <w:trPr>
          <w:trHeight w:val="300"/>
        </w:trPr>
        <w:tc>
          <w:tcPr>
            <w:tcW w:w="1470" w:type="dxa"/>
          </w:tcPr>
          <w:p w14:paraId="3726F275" w14:textId="77EA4D82" w:rsidR="009405A5" w:rsidRDefault="00177E88">
            <w:r>
              <w:t>Unit</w:t>
            </w:r>
          </w:p>
        </w:tc>
        <w:tc>
          <w:tcPr>
            <w:tcW w:w="1572" w:type="dxa"/>
          </w:tcPr>
          <w:p w14:paraId="6E3DEDD4" w14:textId="77777777" w:rsidR="4B4CF305" w:rsidRDefault="4B4CF305"/>
          <w:p w14:paraId="6EB5BB90" w14:textId="2260D55D" w:rsidR="4B4CF305" w:rsidRDefault="00D04078">
            <w:r>
              <w:t>Transition to KS4 – TBC dependent on options</w:t>
            </w:r>
          </w:p>
        </w:tc>
        <w:tc>
          <w:tcPr>
            <w:tcW w:w="1572" w:type="dxa"/>
          </w:tcPr>
          <w:p w14:paraId="4D16027A" w14:textId="1818466C" w:rsidR="4B4CF305" w:rsidRDefault="00D04078">
            <w:r>
              <w:t>Transition to KS4 – TBC dependent on options</w:t>
            </w:r>
          </w:p>
        </w:tc>
        <w:tc>
          <w:tcPr>
            <w:tcW w:w="1572" w:type="dxa"/>
          </w:tcPr>
          <w:p w14:paraId="4FA17ECE" w14:textId="4EB88A3F" w:rsidR="4B4CF305" w:rsidRDefault="00D04078">
            <w:r>
              <w:t>Transition to KS4 – TBC dependent on options</w:t>
            </w:r>
          </w:p>
        </w:tc>
        <w:tc>
          <w:tcPr>
            <w:tcW w:w="1573" w:type="dxa"/>
          </w:tcPr>
          <w:p w14:paraId="4BB67559" w14:textId="4431EB2C" w:rsidR="4B4CF305" w:rsidRDefault="00D04078">
            <w:r>
              <w:t>Transition to KS4 – TBC dependent on options</w:t>
            </w:r>
          </w:p>
        </w:tc>
        <w:tc>
          <w:tcPr>
            <w:tcW w:w="1573" w:type="dxa"/>
          </w:tcPr>
          <w:p w14:paraId="6957FD6D" w14:textId="23A22F34" w:rsidR="4B4CF305" w:rsidRDefault="008943B3">
            <w:r>
              <w:t>Assessment/Data collection</w:t>
            </w:r>
          </w:p>
        </w:tc>
        <w:tc>
          <w:tcPr>
            <w:tcW w:w="1573" w:type="dxa"/>
          </w:tcPr>
          <w:p w14:paraId="67AE3A68" w14:textId="0C18856F" w:rsidR="4B4CF305" w:rsidRDefault="008943B3">
            <w:r>
              <w:t>Enrichment</w:t>
            </w:r>
          </w:p>
        </w:tc>
        <w:tc>
          <w:tcPr>
            <w:tcW w:w="1573" w:type="dxa"/>
          </w:tcPr>
          <w:p w14:paraId="5AD6BE4D" w14:textId="2285CC84" w:rsidR="4B4CF305" w:rsidRDefault="008943B3">
            <w:r>
              <w:t>Enrichment</w:t>
            </w:r>
          </w:p>
        </w:tc>
        <w:tc>
          <w:tcPr>
            <w:tcW w:w="1470" w:type="dxa"/>
          </w:tcPr>
          <w:p w14:paraId="389BF573" w14:textId="77777777" w:rsidR="4B4CF305" w:rsidRDefault="4B4CF305"/>
        </w:tc>
      </w:tr>
    </w:tbl>
    <w:p w14:paraId="01E471E9" w14:textId="4E083F8D" w:rsidR="002E3F20" w:rsidRPr="000E6061" w:rsidRDefault="002E3F20" w:rsidP="000E6061">
      <w:pPr>
        <w:jc w:val="center"/>
        <w:rPr>
          <w:u w:val="single"/>
        </w:rPr>
      </w:pPr>
    </w:p>
    <w:sectPr w:rsidR="002E3F20" w:rsidRPr="000E6061" w:rsidSect="00136848">
      <w:headerReference w:type="default" r:id="rId9"/>
      <w:footerReference w:type="default" r:id="rId10"/>
      <w:pgSz w:w="16838" w:h="11906" w:orient="landscape"/>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5DC0" w14:textId="77777777" w:rsidR="00791D6A" w:rsidRDefault="00791D6A" w:rsidP="00C81F19">
      <w:pPr>
        <w:spacing w:after="0" w:line="240" w:lineRule="auto"/>
      </w:pPr>
      <w:r>
        <w:separator/>
      </w:r>
    </w:p>
  </w:endnote>
  <w:endnote w:type="continuationSeparator" w:id="0">
    <w:p w14:paraId="6EBEA586" w14:textId="77777777" w:rsidR="00791D6A" w:rsidRDefault="00791D6A" w:rsidP="00C81F19">
      <w:pPr>
        <w:spacing w:after="0" w:line="240" w:lineRule="auto"/>
      </w:pPr>
      <w:r>
        <w:continuationSeparator/>
      </w:r>
    </w:p>
  </w:endnote>
  <w:endnote w:type="continuationNotice" w:id="1">
    <w:p w14:paraId="2916B59D" w14:textId="77777777" w:rsidR="00791D6A" w:rsidRDefault="00791D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157E1A13" w14:paraId="56047E64" w14:textId="77777777" w:rsidTr="157E1A13">
      <w:trPr>
        <w:trHeight w:val="300"/>
      </w:trPr>
      <w:tc>
        <w:tcPr>
          <w:tcW w:w="4650" w:type="dxa"/>
        </w:tcPr>
        <w:p w14:paraId="26ECFADC" w14:textId="74EE9908" w:rsidR="157E1A13" w:rsidRDefault="157E1A13" w:rsidP="157E1A13">
          <w:pPr>
            <w:ind w:left="-115"/>
          </w:pPr>
        </w:p>
      </w:tc>
      <w:tc>
        <w:tcPr>
          <w:tcW w:w="4650" w:type="dxa"/>
        </w:tcPr>
        <w:p w14:paraId="4EE93958" w14:textId="0703A2C0" w:rsidR="157E1A13" w:rsidRDefault="157E1A13" w:rsidP="157E1A13">
          <w:pPr>
            <w:jc w:val="center"/>
          </w:pPr>
        </w:p>
      </w:tc>
      <w:tc>
        <w:tcPr>
          <w:tcW w:w="4650" w:type="dxa"/>
        </w:tcPr>
        <w:p w14:paraId="161EA186" w14:textId="5BB5653F" w:rsidR="157E1A13" w:rsidRDefault="157E1A13" w:rsidP="157E1A13">
          <w:pPr>
            <w:ind w:right="-115"/>
            <w:jc w:val="right"/>
          </w:pPr>
        </w:p>
      </w:tc>
    </w:tr>
  </w:tbl>
  <w:p w14:paraId="79F22D81" w14:textId="3F3DD848" w:rsidR="00C81F19" w:rsidRDefault="00C81F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FBB1B" w14:textId="77777777" w:rsidR="00791D6A" w:rsidRDefault="00791D6A" w:rsidP="00C81F19">
      <w:pPr>
        <w:spacing w:after="0" w:line="240" w:lineRule="auto"/>
      </w:pPr>
      <w:r>
        <w:separator/>
      </w:r>
    </w:p>
  </w:footnote>
  <w:footnote w:type="continuationSeparator" w:id="0">
    <w:p w14:paraId="5C63BA1D" w14:textId="77777777" w:rsidR="00791D6A" w:rsidRDefault="00791D6A" w:rsidP="00C81F19">
      <w:pPr>
        <w:spacing w:after="0" w:line="240" w:lineRule="auto"/>
      </w:pPr>
      <w:r>
        <w:continuationSeparator/>
      </w:r>
    </w:p>
  </w:footnote>
  <w:footnote w:type="continuationNotice" w:id="1">
    <w:p w14:paraId="70D80C5A" w14:textId="77777777" w:rsidR="00791D6A" w:rsidRDefault="00791D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157E1A13" w14:paraId="4D33BD8D" w14:textId="77777777" w:rsidTr="157E1A13">
      <w:trPr>
        <w:trHeight w:val="300"/>
      </w:trPr>
      <w:tc>
        <w:tcPr>
          <w:tcW w:w="4650" w:type="dxa"/>
        </w:tcPr>
        <w:p w14:paraId="30E4E4CB" w14:textId="0D0223E2" w:rsidR="157E1A13" w:rsidRDefault="157E1A13" w:rsidP="157E1A13">
          <w:pPr>
            <w:ind w:left="-115"/>
          </w:pPr>
        </w:p>
      </w:tc>
      <w:tc>
        <w:tcPr>
          <w:tcW w:w="4650" w:type="dxa"/>
        </w:tcPr>
        <w:p w14:paraId="586271BC" w14:textId="474A3C28" w:rsidR="157E1A13" w:rsidRDefault="157E1A13" w:rsidP="157E1A13">
          <w:pPr>
            <w:jc w:val="center"/>
          </w:pPr>
        </w:p>
      </w:tc>
      <w:tc>
        <w:tcPr>
          <w:tcW w:w="4650" w:type="dxa"/>
        </w:tcPr>
        <w:p w14:paraId="60E5B9D0" w14:textId="3943182C" w:rsidR="157E1A13" w:rsidRDefault="157E1A13" w:rsidP="157E1A13">
          <w:pPr>
            <w:ind w:right="-115"/>
            <w:jc w:val="right"/>
          </w:pPr>
        </w:p>
      </w:tc>
    </w:tr>
  </w:tbl>
  <w:p w14:paraId="0DD91F68" w14:textId="5E27D1AA" w:rsidR="00C81F19" w:rsidRDefault="00C81F1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59E"/>
    <w:rsid w:val="00016B42"/>
    <w:rsid w:val="00084747"/>
    <w:rsid w:val="00086856"/>
    <w:rsid w:val="00096228"/>
    <w:rsid w:val="000A07FD"/>
    <w:rsid w:val="000B1FAA"/>
    <w:rsid w:val="000C03C6"/>
    <w:rsid w:val="000C7130"/>
    <w:rsid w:val="000D68ED"/>
    <w:rsid w:val="000E259E"/>
    <w:rsid w:val="000E6061"/>
    <w:rsid w:val="00104ED5"/>
    <w:rsid w:val="00112E1E"/>
    <w:rsid w:val="001323FF"/>
    <w:rsid w:val="0013573A"/>
    <w:rsid w:val="00136848"/>
    <w:rsid w:val="00137FD3"/>
    <w:rsid w:val="0014763E"/>
    <w:rsid w:val="001640EA"/>
    <w:rsid w:val="00177E88"/>
    <w:rsid w:val="0018518C"/>
    <w:rsid w:val="001C1B4F"/>
    <w:rsid w:val="001E4313"/>
    <w:rsid w:val="001F7EC4"/>
    <w:rsid w:val="0020192B"/>
    <w:rsid w:val="0025712D"/>
    <w:rsid w:val="00276A2D"/>
    <w:rsid w:val="002A5DEB"/>
    <w:rsid w:val="002B29C7"/>
    <w:rsid w:val="002E3F20"/>
    <w:rsid w:val="00301C66"/>
    <w:rsid w:val="00320499"/>
    <w:rsid w:val="00350833"/>
    <w:rsid w:val="00385427"/>
    <w:rsid w:val="003B159E"/>
    <w:rsid w:val="003E4F76"/>
    <w:rsid w:val="003F5D62"/>
    <w:rsid w:val="0047642E"/>
    <w:rsid w:val="004879C6"/>
    <w:rsid w:val="004A35D5"/>
    <w:rsid w:val="004C1CB1"/>
    <w:rsid w:val="004C77FB"/>
    <w:rsid w:val="004D06DA"/>
    <w:rsid w:val="00501DD6"/>
    <w:rsid w:val="00551C80"/>
    <w:rsid w:val="00552E2F"/>
    <w:rsid w:val="00566968"/>
    <w:rsid w:val="00566ED8"/>
    <w:rsid w:val="005A0410"/>
    <w:rsid w:val="005A3279"/>
    <w:rsid w:val="005A7ED1"/>
    <w:rsid w:val="005B3647"/>
    <w:rsid w:val="005B4154"/>
    <w:rsid w:val="005E7ED1"/>
    <w:rsid w:val="005F0D38"/>
    <w:rsid w:val="005F53D1"/>
    <w:rsid w:val="0060014E"/>
    <w:rsid w:val="00607020"/>
    <w:rsid w:val="0062610F"/>
    <w:rsid w:val="006276BD"/>
    <w:rsid w:val="00647E92"/>
    <w:rsid w:val="00654CDC"/>
    <w:rsid w:val="00663B75"/>
    <w:rsid w:val="0066563C"/>
    <w:rsid w:val="0067192D"/>
    <w:rsid w:val="00683C10"/>
    <w:rsid w:val="006A06E4"/>
    <w:rsid w:val="006A2A1C"/>
    <w:rsid w:val="006B7203"/>
    <w:rsid w:val="00700674"/>
    <w:rsid w:val="0070168F"/>
    <w:rsid w:val="007045D6"/>
    <w:rsid w:val="00724E18"/>
    <w:rsid w:val="00754DE4"/>
    <w:rsid w:val="00763193"/>
    <w:rsid w:val="00764A1F"/>
    <w:rsid w:val="00791D6A"/>
    <w:rsid w:val="007B454D"/>
    <w:rsid w:val="007C63D5"/>
    <w:rsid w:val="007C71CE"/>
    <w:rsid w:val="007D4AEE"/>
    <w:rsid w:val="007F749C"/>
    <w:rsid w:val="00803D1D"/>
    <w:rsid w:val="00834E2D"/>
    <w:rsid w:val="00871E51"/>
    <w:rsid w:val="00882EC4"/>
    <w:rsid w:val="008943B3"/>
    <w:rsid w:val="008A2771"/>
    <w:rsid w:val="008A2DF3"/>
    <w:rsid w:val="008A5836"/>
    <w:rsid w:val="008B1A16"/>
    <w:rsid w:val="008E7FA7"/>
    <w:rsid w:val="00900B24"/>
    <w:rsid w:val="00917644"/>
    <w:rsid w:val="009405A5"/>
    <w:rsid w:val="00940FB3"/>
    <w:rsid w:val="009565AE"/>
    <w:rsid w:val="00991ABE"/>
    <w:rsid w:val="00992CEE"/>
    <w:rsid w:val="009C6E09"/>
    <w:rsid w:val="009D5FB9"/>
    <w:rsid w:val="009F6990"/>
    <w:rsid w:val="00A15456"/>
    <w:rsid w:val="00A30970"/>
    <w:rsid w:val="00A358FC"/>
    <w:rsid w:val="00A74825"/>
    <w:rsid w:val="00A8695C"/>
    <w:rsid w:val="00A94C60"/>
    <w:rsid w:val="00AA478C"/>
    <w:rsid w:val="00AB468C"/>
    <w:rsid w:val="00AB5934"/>
    <w:rsid w:val="00AD5F18"/>
    <w:rsid w:val="00AE42DD"/>
    <w:rsid w:val="00B16619"/>
    <w:rsid w:val="00B322A9"/>
    <w:rsid w:val="00B3749F"/>
    <w:rsid w:val="00B65E2C"/>
    <w:rsid w:val="00B800FC"/>
    <w:rsid w:val="00BE1CC9"/>
    <w:rsid w:val="00BF32B1"/>
    <w:rsid w:val="00C0734F"/>
    <w:rsid w:val="00C139F1"/>
    <w:rsid w:val="00C33A08"/>
    <w:rsid w:val="00C33E37"/>
    <w:rsid w:val="00C41F6A"/>
    <w:rsid w:val="00C46A34"/>
    <w:rsid w:val="00C673D8"/>
    <w:rsid w:val="00C73786"/>
    <w:rsid w:val="00C81F19"/>
    <w:rsid w:val="00C83C14"/>
    <w:rsid w:val="00C8604C"/>
    <w:rsid w:val="00C97E2D"/>
    <w:rsid w:val="00CD4317"/>
    <w:rsid w:val="00CD5106"/>
    <w:rsid w:val="00CF50A4"/>
    <w:rsid w:val="00D04078"/>
    <w:rsid w:val="00D07D83"/>
    <w:rsid w:val="00D415BD"/>
    <w:rsid w:val="00D72950"/>
    <w:rsid w:val="00DB070C"/>
    <w:rsid w:val="00DB76B8"/>
    <w:rsid w:val="00DD7254"/>
    <w:rsid w:val="00DE1018"/>
    <w:rsid w:val="00E10E50"/>
    <w:rsid w:val="00E36B3D"/>
    <w:rsid w:val="00E656CF"/>
    <w:rsid w:val="00E7023F"/>
    <w:rsid w:val="00E977E4"/>
    <w:rsid w:val="00E97B1E"/>
    <w:rsid w:val="00EA38CC"/>
    <w:rsid w:val="00EC5F6A"/>
    <w:rsid w:val="00EE2D4B"/>
    <w:rsid w:val="00EF510F"/>
    <w:rsid w:val="00F10CF5"/>
    <w:rsid w:val="00F26BEC"/>
    <w:rsid w:val="00F53FF0"/>
    <w:rsid w:val="00F671E2"/>
    <w:rsid w:val="00F72500"/>
    <w:rsid w:val="00F83601"/>
    <w:rsid w:val="00FA5F2B"/>
    <w:rsid w:val="00FD2879"/>
    <w:rsid w:val="00FE48DA"/>
    <w:rsid w:val="00FE5166"/>
    <w:rsid w:val="00FF4D03"/>
    <w:rsid w:val="0FAB1AD4"/>
    <w:rsid w:val="0FBB5E52"/>
    <w:rsid w:val="157E1A13"/>
    <w:rsid w:val="15AD0F7E"/>
    <w:rsid w:val="180A5AE9"/>
    <w:rsid w:val="21BAF9C7"/>
    <w:rsid w:val="27B6F479"/>
    <w:rsid w:val="31C5DE6B"/>
    <w:rsid w:val="339C77FC"/>
    <w:rsid w:val="391AADE0"/>
    <w:rsid w:val="3AEFC704"/>
    <w:rsid w:val="3D3533E7"/>
    <w:rsid w:val="43070444"/>
    <w:rsid w:val="46B3A7A2"/>
    <w:rsid w:val="4B4CF305"/>
    <w:rsid w:val="4C04209C"/>
    <w:rsid w:val="4DB86698"/>
    <w:rsid w:val="56100FC5"/>
    <w:rsid w:val="59545752"/>
    <w:rsid w:val="624AD6CC"/>
    <w:rsid w:val="630A2D46"/>
    <w:rsid w:val="641C0565"/>
    <w:rsid w:val="6463A91F"/>
    <w:rsid w:val="6D890D6A"/>
    <w:rsid w:val="72D41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4854"/>
  <w15:chartTrackingRefBased/>
  <w15:docId w15:val="{C7FF9A90-626A-40EF-8A14-D7A09807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5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5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5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5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5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5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5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5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5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5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5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5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5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5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5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59E"/>
    <w:rPr>
      <w:rFonts w:eastAsiaTheme="majorEastAsia" w:cstheme="majorBidi"/>
      <w:color w:val="272727" w:themeColor="text1" w:themeTint="D8"/>
    </w:rPr>
  </w:style>
  <w:style w:type="paragraph" w:styleId="Title">
    <w:name w:val="Title"/>
    <w:basedOn w:val="Normal"/>
    <w:next w:val="Normal"/>
    <w:link w:val="TitleChar"/>
    <w:uiPriority w:val="10"/>
    <w:qFormat/>
    <w:rsid w:val="003B1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5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5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59E"/>
    <w:pPr>
      <w:spacing w:before="160"/>
      <w:jc w:val="center"/>
    </w:pPr>
    <w:rPr>
      <w:i/>
      <w:iCs/>
      <w:color w:val="404040" w:themeColor="text1" w:themeTint="BF"/>
    </w:rPr>
  </w:style>
  <w:style w:type="character" w:customStyle="1" w:styleId="QuoteChar">
    <w:name w:val="Quote Char"/>
    <w:basedOn w:val="DefaultParagraphFont"/>
    <w:link w:val="Quote"/>
    <w:uiPriority w:val="29"/>
    <w:rsid w:val="003B159E"/>
    <w:rPr>
      <w:i/>
      <w:iCs/>
      <w:color w:val="404040" w:themeColor="text1" w:themeTint="BF"/>
    </w:rPr>
  </w:style>
  <w:style w:type="paragraph" w:styleId="ListParagraph">
    <w:name w:val="List Paragraph"/>
    <w:basedOn w:val="Normal"/>
    <w:uiPriority w:val="34"/>
    <w:qFormat/>
    <w:rsid w:val="003B159E"/>
    <w:pPr>
      <w:ind w:left="720"/>
      <w:contextualSpacing/>
    </w:pPr>
  </w:style>
  <w:style w:type="character" w:styleId="IntenseEmphasis">
    <w:name w:val="Intense Emphasis"/>
    <w:basedOn w:val="DefaultParagraphFont"/>
    <w:uiPriority w:val="21"/>
    <w:qFormat/>
    <w:rsid w:val="003B159E"/>
    <w:rPr>
      <w:i/>
      <w:iCs/>
      <w:color w:val="0F4761" w:themeColor="accent1" w:themeShade="BF"/>
    </w:rPr>
  </w:style>
  <w:style w:type="paragraph" w:styleId="IntenseQuote">
    <w:name w:val="Intense Quote"/>
    <w:basedOn w:val="Normal"/>
    <w:next w:val="Normal"/>
    <w:link w:val="IntenseQuoteChar"/>
    <w:uiPriority w:val="30"/>
    <w:qFormat/>
    <w:rsid w:val="003B1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59E"/>
    <w:rPr>
      <w:i/>
      <w:iCs/>
      <w:color w:val="0F4761" w:themeColor="accent1" w:themeShade="BF"/>
    </w:rPr>
  </w:style>
  <w:style w:type="character" w:styleId="IntenseReference">
    <w:name w:val="Intense Reference"/>
    <w:basedOn w:val="DefaultParagraphFont"/>
    <w:uiPriority w:val="32"/>
    <w:qFormat/>
    <w:rsid w:val="003B159E"/>
    <w:rPr>
      <w:b/>
      <w:bCs/>
      <w:smallCaps/>
      <w:color w:val="0F4761" w:themeColor="accent1" w:themeShade="BF"/>
      <w:spacing w:val="5"/>
    </w:rPr>
  </w:style>
  <w:style w:type="table" w:styleId="TableGrid">
    <w:name w:val="Table Grid"/>
    <w:basedOn w:val="TableNormal"/>
    <w:uiPriority w:val="39"/>
    <w:rsid w:val="000E6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9D5FB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D5FB9"/>
  </w:style>
  <w:style w:type="paragraph" w:styleId="Footer">
    <w:name w:val="footer"/>
    <w:basedOn w:val="Normal"/>
    <w:link w:val="FooterChar"/>
    <w:uiPriority w:val="99"/>
    <w:semiHidden/>
    <w:unhideWhenUsed/>
    <w:rsid w:val="009D5FB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D5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987462">
      <w:bodyDiv w:val="1"/>
      <w:marLeft w:val="0"/>
      <w:marRight w:val="0"/>
      <w:marTop w:val="0"/>
      <w:marBottom w:val="0"/>
      <w:divBdr>
        <w:top w:val="none" w:sz="0" w:space="0" w:color="auto"/>
        <w:left w:val="none" w:sz="0" w:space="0" w:color="auto"/>
        <w:bottom w:val="none" w:sz="0" w:space="0" w:color="auto"/>
        <w:right w:val="none" w:sz="0" w:space="0" w:color="auto"/>
      </w:divBdr>
    </w:div>
    <w:div w:id="182782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85D4640D900A428405AA0460C683FB" ma:contentTypeVersion="20" ma:contentTypeDescription="Create a new document." ma:contentTypeScope="" ma:versionID="d4b03506b5a583a7936d51e867e7af4a">
  <xsd:schema xmlns:xsd="http://www.w3.org/2001/XMLSchema" xmlns:xs="http://www.w3.org/2001/XMLSchema" xmlns:p="http://schemas.microsoft.com/office/2006/metadata/properties" xmlns:ns2="af66117f-7919-47ac-be66-08e25af4fef9" xmlns:ns3="874040a9-a7f0-4221-8930-47994d61526c" targetNamespace="http://schemas.microsoft.com/office/2006/metadata/properties" ma:root="true" ma:fieldsID="773c982b07eb5a6e4230b79117cef8bf" ns2:_="" ns3:_="">
    <xsd:import namespace="af66117f-7919-47ac-be66-08e25af4fef9"/>
    <xsd:import namespace="874040a9-a7f0-4221-8930-47994d615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6117f-7919-47ac-be66-08e25af4fef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65b8b9-109d-4782-bbde-6960b1a003ee}" ma:internalName="TaxCatchAll" ma:showField="CatchAllData" ma:web="af66117f-7919-47ac-be66-08e25af4f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4040a9-a7f0-4221-8930-47994d615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f66117f-7919-47ac-be66-08e25af4fef9" xsi:nil="true"/>
    <lcf76f155ced4ddcb4097134ff3c332f xmlns="874040a9-a7f0-4221-8930-47994d6152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951D54-FADD-42D4-B747-06BD2F7A2568}">
  <ds:schemaRefs>
    <ds:schemaRef ds:uri="http://schemas.microsoft.com/sharepoint/v3/contenttype/forms"/>
  </ds:schemaRefs>
</ds:datastoreItem>
</file>

<file path=customXml/itemProps2.xml><?xml version="1.0" encoding="utf-8"?>
<ds:datastoreItem xmlns:ds="http://schemas.openxmlformats.org/officeDocument/2006/customXml" ds:itemID="{2E45592E-DD4C-49BB-9994-26D171BBB560}"/>
</file>

<file path=customXml/itemProps3.xml><?xml version="1.0" encoding="utf-8"?>
<ds:datastoreItem xmlns:ds="http://schemas.openxmlformats.org/officeDocument/2006/customXml" ds:itemID="{6F5F50C7-85D8-4D6A-9DBF-7D6B05D999A9}">
  <ds:schemaRefs>
    <ds:schemaRef ds:uri="http://schemas.microsoft.com/office/2006/metadata/properties"/>
    <ds:schemaRef ds:uri="http://schemas.microsoft.com/office/infopath/2007/PartnerControls"/>
    <ds:schemaRef ds:uri="0527fa56-fb9c-4004-a323-c7b97c1755ea"/>
    <ds:schemaRef ds:uri="0f53d791-0c25-4ea0-b348-159f9ecf687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2370</Characters>
  <Application>Microsoft Office Word</Application>
  <DocSecurity>0</DocSecurity>
  <Lines>176</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Troughton</dc:creator>
  <cp:keywords/>
  <dc:description/>
  <cp:lastModifiedBy>Dube, Joseph</cp:lastModifiedBy>
  <cp:revision>17</cp:revision>
  <dcterms:created xsi:type="dcterms:W3CDTF">2025-06-19T14:30:00Z</dcterms:created>
  <dcterms:modified xsi:type="dcterms:W3CDTF">2025-11-29T21:35:00Z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0x0101005785D4640D900A428405AA0460C683FB</vt:lpwstr>
  </property>
  <property fmtid="{D5CDD505-2E9C-101B-9397-08002B2CF9AE}" pid="3" name="MediaServiceImageTags">
    <vt:lpwstr/>
  </property>
</Properties>
</file>