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4595DA9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CAEC36" w:rsidR="00195A54" w:rsidRPr="007C30C6" w:rsidRDefault="007C30C6" w:rsidP="4595DA91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What was </w:t>
            </w:r>
            <w:r w:rsidR="003C7554">
              <w:rPr>
                <w:rFonts w:cs="Calibri"/>
                <w:b/>
                <w:bCs/>
              </w:rPr>
              <w:t>important to ancient Egyptians?</w:t>
            </w:r>
          </w:p>
        </w:tc>
      </w:tr>
      <w:tr w:rsidR="00195A54" w:rsidRPr="00195A54" w14:paraId="61C58675" w14:textId="77777777" w:rsidTr="4595DA91">
        <w:tc>
          <w:tcPr>
            <w:tcW w:w="15509" w:type="dxa"/>
            <w:gridSpan w:val="2"/>
          </w:tcPr>
          <w:p w14:paraId="139F6905" w14:textId="30C56529" w:rsid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0471D055" w14:textId="77777777" w:rsidR="000B29CB" w:rsidRDefault="007C30C6" w:rsidP="000B29CB">
            <w:pPr>
              <w:rPr>
                <w:rFonts w:cs="Calibri"/>
              </w:rPr>
            </w:pPr>
            <w:r w:rsidRPr="007C30C6">
              <w:rPr>
                <w:rFonts w:cs="Calibri"/>
              </w:rPr>
              <w:t>Pupils</w:t>
            </w:r>
            <w:r w:rsidRPr="007C30C6">
              <w:rPr>
                <w:rFonts w:cs="Calibri"/>
                <w:b/>
                <w:bCs/>
              </w:rPr>
              <w:t> </w:t>
            </w:r>
            <w:r w:rsidRPr="007C30C6">
              <w:rPr>
                <w:rFonts w:cs="Calibri"/>
              </w:rPr>
              <w:t>will be able to:</w:t>
            </w:r>
          </w:p>
          <w:p w14:paraId="4B6EB127" w14:textId="683CED8B" w:rsidR="000B29CB" w:rsidRPr="000B29CB" w:rsidRDefault="000B29CB" w:rsidP="003B0F36">
            <w:pPr>
              <w:pStyle w:val="ListParagraph"/>
              <w:numPr>
                <w:ilvl w:val="0"/>
                <w:numId w:val="7"/>
              </w:numPr>
              <w:ind w:left="714" w:hanging="357"/>
              <w:rPr>
                <w:rFonts w:cs="Calibri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Identify where and when ancient civilisations first appeared.</w:t>
            </w:r>
          </w:p>
          <w:p w14:paraId="708F0573" w14:textId="77777777" w:rsidR="000B29CB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Ask historically valid questions about sources.</w:t>
            </w:r>
          </w:p>
          <w:p w14:paraId="39D0F647" w14:textId="77777777" w:rsidR="000B29CB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Identify Ancient Egypt’s location and its key geographical features.</w:t>
            </w:r>
          </w:p>
          <w:p w14:paraId="2084D20B" w14:textId="77777777" w:rsidR="000B29CB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Explain why the River Nile was important to ancient Egyptians. </w:t>
            </w:r>
          </w:p>
          <w:p w14:paraId="227AB814" w14:textId="77777777" w:rsidR="000B29CB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Explain the significance of the Rosetta Stone.</w:t>
            </w:r>
          </w:p>
          <w:p w14:paraId="58F4A710" w14:textId="77777777" w:rsidR="000B29CB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Explain the importance of gods and goddesses to people in ancient Egypt.</w:t>
            </w:r>
          </w:p>
          <w:p w14:paraId="3CB9FBD0" w14:textId="77777777" w:rsidR="000B29CB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Analyse mummification’s connection to ancient Egyptian beliefs about the afterlife.</w:t>
            </w:r>
          </w:p>
          <w:p w14:paraId="51AFD685" w14:textId="563E4F24" w:rsidR="00C47C35" w:rsidRPr="000B29CB" w:rsidRDefault="000B29CB" w:rsidP="003B0F36">
            <w:pPr>
              <w:numPr>
                <w:ilvl w:val="0"/>
                <w:numId w:val="3"/>
              </w:numPr>
              <w:shd w:val="clear" w:color="auto" w:fill="FFFFFF"/>
              <w:ind w:left="714" w:hanging="357"/>
              <w:rPr>
                <w:rFonts w:ascii="Lato" w:eastAsia="Times New Roman" w:hAnsi="Lato" w:cs="Times New Roman"/>
                <w:color w:val="222222"/>
                <w:kern w:val="0"/>
                <w:sz w:val="27"/>
                <w:szCs w:val="27"/>
                <w:lang w:eastAsia="en-GB"/>
                <w14:ligatures w14:val="none"/>
              </w:rPr>
            </w:pPr>
            <w:r w:rsidRPr="000B29CB">
              <w:rPr>
                <w:rFonts w:eastAsia="Times New Roman" w:cs="Arial"/>
                <w:color w:val="222222"/>
                <w:kern w:val="0"/>
                <w:lang w:eastAsia="en-GB"/>
                <w14:ligatures w14:val="none"/>
              </w:rPr>
              <w:t>Decide what was important to people in ancient Egypt.</w:t>
            </w:r>
          </w:p>
        </w:tc>
      </w:tr>
      <w:tr w:rsidR="06866210" w14:paraId="4398BCEC" w14:textId="77777777" w:rsidTr="4595DA9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7B1D08" w:rsidRDefault="516E766A" w:rsidP="007B1D08">
            <w:pPr>
              <w:rPr>
                <w:rFonts w:cs="Calibri"/>
                <w:b/>
                <w:bCs/>
              </w:rPr>
            </w:pPr>
            <w:r w:rsidRPr="007B1D08">
              <w:rPr>
                <w:rFonts w:cs="Calibri"/>
                <w:b/>
                <w:bCs/>
              </w:rPr>
              <w:t>Developmental Focus</w:t>
            </w:r>
            <w:r w:rsidR="0C1C277E" w:rsidRPr="007B1D08">
              <w:rPr>
                <w:rFonts w:cs="Calibri"/>
                <w:b/>
                <w:bCs/>
              </w:rPr>
              <w:t xml:space="preserve"> Opportunities</w:t>
            </w:r>
          </w:p>
          <w:p w14:paraId="0BF989AB" w14:textId="22476B9A" w:rsidR="007B1D08" w:rsidRPr="007B1D08" w:rsidRDefault="007B1D08" w:rsidP="007B1D08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Sequencing events on a timeline</w:t>
            </w:r>
          </w:p>
          <w:p w14:paraId="032B17F6" w14:textId="02AAFD2F" w:rsidR="007B1D08" w:rsidRPr="007B1D08" w:rsidRDefault="007B1D08" w:rsidP="007B1D08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Understanding that history is divided into periods of history e.g. ancient times, </w:t>
            </w:r>
            <w:proofErr w:type="gramStart"/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middle ages</w:t>
            </w:r>
            <w:proofErr w:type="gramEnd"/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 and modern. Using dates to work out the interval between periods of time and the duration of historical events or periods.</w:t>
            </w:r>
          </w:p>
          <w:p w14:paraId="4D530FA9" w14:textId="38060E03" w:rsidR="007B1D08" w:rsidRPr="007B1D08" w:rsidRDefault="007B1D08" w:rsidP="007B1D08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Using BC/AD/Century.</w:t>
            </w:r>
          </w:p>
          <w:p w14:paraId="5C05CE4E" w14:textId="0160120E" w:rsidR="007B1D08" w:rsidRPr="007B1D08" w:rsidRDefault="007B1D08" w:rsidP="007B1D08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Sequencing eight to ten artefacts, historical pictures or events.</w:t>
            </w:r>
          </w:p>
          <w:p w14:paraId="375CCAD8" w14:textId="202648D2" w:rsidR="007B1D08" w:rsidRPr="007B1D08" w:rsidRDefault="007B1D08" w:rsidP="007B1D08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Beginning to develop a chronologically secure knowledge of local, British and world history across the periods studied.</w:t>
            </w:r>
          </w:p>
          <w:p w14:paraId="47ACE756" w14:textId="46C216D8" w:rsidR="06866210" w:rsidRPr="007B1D08" w:rsidRDefault="007B1D08" w:rsidP="007B1D08">
            <w:pPr>
              <w:numPr>
                <w:ilvl w:val="0"/>
                <w:numId w:val="4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Creating </w:t>
            </w:r>
            <w:proofErr w:type="gramStart"/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historically-valid</w:t>
            </w:r>
            <w:proofErr w:type="gramEnd"/>
            <w:r w:rsidRPr="007B1D08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 xml:space="preserve"> questions across a range of time periods, cultures and groups of people.</w:t>
            </w:r>
          </w:p>
        </w:tc>
      </w:tr>
      <w:tr w:rsidR="00195A54" w:rsidRPr="00195A54" w14:paraId="4E7257A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4595DA91">
        <w:tc>
          <w:tcPr>
            <w:tcW w:w="7725" w:type="dxa"/>
          </w:tcPr>
          <w:p w14:paraId="2D96A651" w14:textId="31E7C39A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AD means Anno Domini and can be used to show years from the year 1AD.</w:t>
            </w:r>
          </w:p>
          <w:p w14:paraId="02CF2C93" w14:textId="6A56E52F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change can be brought about by advancements in trade.</w:t>
            </w:r>
          </w:p>
          <w:p w14:paraId="19CA3036" w14:textId="58CFB5E0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significant archaeological findings are those which change how we see the past.</w:t>
            </w:r>
          </w:p>
          <w:p w14:paraId="5C51C081" w14:textId="0158C2ED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archaeological evidence can be used to find out about the past.</w:t>
            </w:r>
          </w:p>
          <w:p w14:paraId="5306C7C9" w14:textId="5BD70A2C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we can make inferences and deductions using images from the past.</w:t>
            </w:r>
          </w:p>
          <w:p w14:paraId="08243A93" w14:textId="0012FAC6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know that archaeological evidence has limitations: it does not give all the answers or tell us about the emotions of people from the past.</w:t>
            </w:r>
          </w:p>
          <w:p w14:paraId="0A018A84" w14:textId="209928A7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lastRenderedPageBreak/>
              <w:t>To know that assumptions made by historians can change in the light of new evidence.</w:t>
            </w:r>
          </w:p>
          <w:p w14:paraId="3A3DEDEA" w14:textId="53A8FEF1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understand that societal hierarchies and structures existed including aristocracy and peasantry.</w:t>
            </w:r>
          </w:p>
          <w:p w14:paraId="5A0C99FE" w14:textId="2612B0EF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understand that society was organised in different ways in different cultures and times and consisted of different groups with different roles and lifestyles.</w:t>
            </w:r>
          </w:p>
          <w:p w14:paraId="32D4D0D4" w14:textId="37FC8729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understand that there are different beliefs in different cultures, times and groups.</w:t>
            </w:r>
          </w:p>
          <w:p w14:paraId="5078997D" w14:textId="2B952ED9" w:rsidR="00D830AC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compare the beliefs in different cultures, times and groups.</w:t>
            </w:r>
          </w:p>
          <w:p w14:paraId="13987915" w14:textId="5C1DFD5A" w:rsidR="00C47C35" w:rsidRPr="00D830AC" w:rsidRDefault="00D830AC" w:rsidP="00D830AC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</w:pPr>
            <w:r w:rsidRPr="00D830AC">
              <w:rPr>
                <w:rFonts w:eastAsia="Times New Roman" w:cs="Times New Roman"/>
                <w:color w:val="222222"/>
                <w:kern w:val="0"/>
                <w:lang w:eastAsia="en-GB"/>
                <w14:ligatures w14:val="none"/>
              </w:rPr>
              <w:t>To be aware that the achievements of ancient civilisations contributed to the development of technology, culture and science.</w:t>
            </w:r>
          </w:p>
        </w:tc>
        <w:tc>
          <w:tcPr>
            <w:tcW w:w="7784" w:type="dxa"/>
          </w:tcPr>
          <w:p w14:paraId="2601A69A" w14:textId="0515C3E2" w:rsidR="00C47C35" w:rsidRDefault="007B1D08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Learners </w:t>
            </w:r>
            <w:proofErr w:type="gramStart"/>
            <w:r>
              <w:rPr>
                <w:rFonts w:cs="Calibri"/>
              </w:rPr>
              <w:t>will</w:t>
            </w:r>
            <w:r w:rsidR="005729DB">
              <w:rPr>
                <w:rFonts w:cs="Calibri"/>
              </w:rPr>
              <w:t xml:space="preserve"> </w:t>
            </w:r>
            <w:r w:rsidR="00453465">
              <w:rPr>
                <w:rFonts w:cs="Calibri"/>
              </w:rPr>
              <w:t xml:space="preserve"> explore</w:t>
            </w:r>
            <w:proofErr w:type="gramEnd"/>
            <w:r w:rsidR="00453465">
              <w:rPr>
                <w:rFonts w:cs="Calibri"/>
              </w:rPr>
              <w:t xml:space="preserve"> key aspects of ancient Egyptian civilisation. They will investigate fundamental beliefs, customs and achievements, including the significance of the River Nile, the afterlife</w:t>
            </w:r>
            <w:r w:rsidR="006E6A2B">
              <w:rPr>
                <w:rFonts w:cs="Calibri"/>
              </w:rPr>
              <w:t>,</w:t>
            </w:r>
            <w:r w:rsidR="00453465">
              <w:rPr>
                <w:rFonts w:cs="Calibri"/>
              </w:rPr>
              <w:t xml:space="preserve"> hieroglyphics and </w:t>
            </w:r>
            <w:r w:rsidR="006E6A2B">
              <w:rPr>
                <w:rFonts w:cs="Calibri"/>
              </w:rPr>
              <w:t>pharaoh</w:t>
            </w:r>
            <w:r w:rsidR="00453465">
              <w:rPr>
                <w:rFonts w:cs="Calibri"/>
              </w:rPr>
              <w:t xml:space="preserve"> buri</w:t>
            </w:r>
            <w:r w:rsidR="006E6A2B">
              <w:rPr>
                <w:rFonts w:cs="Calibri"/>
              </w:rPr>
              <w:t xml:space="preserve">als. </w:t>
            </w:r>
          </w:p>
          <w:p w14:paraId="5B69D9F1" w14:textId="19684336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4595DA91">
        <w:tc>
          <w:tcPr>
            <w:tcW w:w="7725" w:type="dxa"/>
          </w:tcPr>
          <w:p w14:paraId="2C686D94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achievement</w:t>
            </w:r>
          </w:p>
          <w:p w14:paraId="3D409B0F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afterlife</w:t>
            </w:r>
          </w:p>
          <w:p w14:paraId="7289758C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beliefs</w:t>
            </w:r>
          </w:p>
          <w:p w14:paraId="1E6F79AB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chronological</w:t>
            </w:r>
          </w:p>
          <w:p w14:paraId="359B47B3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civilisation</w:t>
            </w:r>
          </w:p>
          <w:p w14:paraId="211A68CF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continuity</w:t>
            </w:r>
          </w:p>
          <w:p w14:paraId="0D338B51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creation</w:t>
            </w:r>
          </w:p>
          <w:p w14:paraId="0D746C29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goods</w:t>
            </w:r>
          </w:p>
          <w:p w14:paraId="46660A2E" w14:textId="77777777" w:rsidR="005729DB" w:rsidRPr="005729DB" w:rsidRDefault="005729DB" w:rsidP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source</w:t>
            </w:r>
          </w:p>
          <w:p w14:paraId="1E0D00A8" w14:textId="51C7E3E0" w:rsidR="00C47C35" w:rsidRPr="00195A54" w:rsidRDefault="005729DB">
            <w:pPr>
              <w:rPr>
                <w:rFonts w:cs="Calibri"/>
              </w:rPr>
            </w:pPr>
            <w:r w:rsidRPr="005729DB">
              <w:rPr>
                <w:rFonts w:cs="Calibri"/>
              </w:rPr>
              <w:t>trade</w:t>
            </w:r>
          </w:p>
        </w:tc>
        <w:tc>
          <w:tcPr>
            <w:tcW w:w="7784" w:type="dxa"/>
          </w:tcPr>
          <w:p w14:paraId="6F8BF3B3" w14:textId="77777777" w:rsidR="00C47C35" w:rsidRDefault="00E73465">
            <w:pPr>
              <w:rPr>
                <w:rFonts w:cs="Calibri"/>
              </w:rPr>
            </w:pPr>
            <w:r>
              <w:rPr>
                <w:rFonts w:cs="Calibri"/>
              </w:rPr>
              <w:t>Meet the … Ancient Egyptians – James Davies</w:t>
            </w:r>
          </w:p>
          <w:p w14:paraId="4A869FAB" w14:textId="77777777" w:rsidR="00E73465" w:rsidRDefault="00E73465">
            <w:pPr>
              <w:rPr>
                <w:rFonts w:cs="Calibri"/>
              </w:rPr>
            </w:pPr>
            <w:r>
              <w:rPr>
                <w:rFonts w:cs="Calibri"/>
              </w:rPr>
              <w:t>Myths, Mummies and Magic in Ancient Egypt – Stephen Davies</w:t>
            </w:r>
          </w:p>
          <w:p w14:paraId="73DEE9A5" w14:textId="5D62C7E9" w:rsidR="00E73465" w:rsidRPr="00195A54" w:rsidRDefault="00E7346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4595DA9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4595DA91">
        <w:tc>
          <w:tcPr>
            <w:tcW w:w="7725" w:type="dxa"/>
          </w:tcPr>
          <w:p w14:paraId="7F185658" w14:textId="462376AA" w:rsidR="00C47C35" w:rsidRDefault="00B15262">
            <w:pPr>
              <w:rPr>
                <w:rFonts w:cs="Calibri"/>
              </w:rPr>
            </w:pPr>
            <w:r>
              <w:rPr>
                <w:rFonts w:cs="Calibri"/>
              </w:rPr>
              <w:t>Not understanding that other civilisations were developing in other countries at the same time as the Egyptians</w:t>
            </w:r>
            <w:r w:rsidR="00EF6385">
              <w:rPr>
                <w:rFonts w:cs="Calibri"/>
              </w:rPr>
              <w:t xml:space="preserve">. </w:t>
            </w:r>
          </w:p>
          <w:p w14:paraId="27BDA10E" w14:textId="2648375B" w:rsidR="00B15262" w:rsidRDefault="00B15262">
            <w:pPr>
              <w:rPr>
                <w:rFonts w:cs="Calibri"/>
              </w:rPr>
            </w:pPr>
            <w:r>
              <w:rPr>
                <w:rFonts w:cs="Calibri"/>
              </w:rPr>
              <w:t>Thinking that Egyptians still use mummification for pharaohs in the modern day</w:t>
            </w:r>
            <w:r w:rsidR="00EF6385">
              <w:rPr>
                <w:rFonts w:cs="Calibri"/>
              </w:rPr>
              <w:t>.</w:t>
            </w:r>
          </w:p>
          <w:p w14:paraId="5F35E45F" w14:textId="77777777" w:rsidR="00B15262" w:rsidRDefault="00B15262">
            <w:pPr>
              <w:rPr>
                <w:rFonts w:cs="Calibri"/>
              </w:rPr>
            </w:pPr>
          </w:p>
          <w:p w14:paraId="41BAE675" w14:textId="77777777" w:rsidR="00C47C35" w:rsidRDefault="00C47C35">
            <w:pPr>
              <w:rPr>
                <w:rFonts w:cs="Calibri"/>
              </w:rPr>
            </w:pPr>
          </w:p>
          <w:p w14:paraId="27D4E1CF" w14:textId="77777777" w:rsidR="00C47C35" w:rsidRDefault="00C47C35">
            <w:pPr>
              <w:rPr>
                <w:rFonts w:cs="Calibri"/>
              </w:rPr>
            </w:pPr>
          </w:p>
          <w:p w14:paraId="299CC210" w14:textId="77777777" w:rsidR="00C47C35" w:rsidRPr="00195A54" w:rsidRDefault="00C47C35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5AA67B8C" w14:textId="22241857" w:rsidR="00C47C35" w:rsidRDefault="005729DB">
            <w:pPr>
              <w:rPr>
                <w:rFonts w:cs="Calibri"/>
              </w:rPr>
            </w:pPr>
            <w:r>
              <w:rPr>
                <w:rFonts w:cs="Calibri"/>
              </w:rPr>
              <w:t>Geography – Where in the world is Egypt?</w:t>
            </w:r>
            <w:r w:rsidR="00C73D12">
              <w:rPr>
                <w:rFonts w:cs="Calibri"/>
              </w:rPr>
              <w:t xml:space="preserve"> Human and physical features</w:t>
            </w:r>
          </w:p>
          <w:p w14:paraId="2668E00C" w14:textId="508E9432" w:rsidR="00C73D12" w:rsidRDefault="0069556E">
            <w:pPr>
              <w:rPr>
                <w:rFonts w:cs="Calibri"/>
              </w:rPr>
            </w:pPr>
            <w:r>
              <w:rPr>
                <w:rFonts w:cs="Calibri"/>
              </w:rPr>
              <w:t>Religion and world views</w:t>
            </w:r>
          </w:p>
          <w:p w14:paraId="641C1687" w14:textId="77777777" w:rsidR="0069556E" w:rsidRDefault="0069556E">
            <w:pPr>
              <w:rPr>
                <w:rFonts w:cs="Calibri"/>
              </w:rPr>
            </w:pPr>
          </w:p>
          <w:p w14:paraId="09F840AF" w14:textId="77777777" w:rsidR="005729DB" w:rsidRDefault="005729DB">
            <w:pPr>
              <w:rPr>
                <w:rFonts w:cs="Calibri"/>
              </w:rPr>
            </w:pPr>
          </w:p>
          <w:p w14:paraId="32985529" w14:textId="77777777" w:rsidR="00C47C35" w:rsidRDefault="00C47C35">
            <w:pPr>
              <w:rPr>
                <w:rFonts w:cs="Calibri"/>
              </w:rPr>
            </w:pP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0BCA9" w14:textId="77777777" w:rsidR="00D7225F" w:rsidRDefault="00D7225F" w:rsidP="00195A54">
      <w:pPr>
        <w:spacing w:after="0" w:line="240" w:lineRule="auto"/>
      </w:pPr>
      <w:r>
        <w:separator/>
      </w:r>
    </w:p>
  </w:endnote>
  <w:endnote w:type="continuationSeparator" w:id="0">
    <w:p w14:paraId="4833B1BC" w14:textId="77777777" w:rsidR="00D7225F" w:rsidRDefault="00D7225F" w:rsidP="00195A54">
      <w:pPr>
        <w:spacing w:after="0" w:line="240" w:lineRule="auto"/>
      </w:pPr>
      <w:r>
        <w:continuationSeparator/>
      </w:r>
    </w:p>
  </w:endnote>
  <w:endnote w:type="continuationNotice" w:id="1">
    <w:p w14:paraId="76BED2CD" w14:textId="77777777" w:rsidR="00D7225F" w:rsidRDefault="00D722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89299" w14:textId="77777777" w:rsidR="00D7225F" w:rsidRDefault="00D7225F" w:rsidP="00195A54">
      <w:pPr>
        <w:spacing w:after="0" w:line="240" w:lineRule="auto"/>
      </w:pPr>
      <w:r>
        <w:separator/>
      </w:r>
    </w:p>
  </w:footnote>
  <w:footnote w:type="continuationSeparator" w:id="0">
    <w:p w14:paraId="1EFA506C" w14:textId="77777777" w:rsidR="00D7225F" w:rsidRDefault="00D7225F" w:rsidP="00195A54">
      <w:pPr>
        <w:spacing w:after="0" w:line="240" w:lineRule="auto"/>
      </w:pPr>
      <w:r>
        <w:continuationSeparator/>
      </w:r>
    </w:p>
  </w:footnote>
  <w:footnote w:type="continuationNotice" w:id="1">
    <w:p w14:paraId="10A520F2" w14:textId="77777777" w:rsidR="00D7225F" w:rsidRDefault="00D722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65B091D" w:rsidR="00195A54" w:rsidRPr="00C47C35" w:rsidRDefault="007C30C6" w:rsidP="00C47C35">
    <w:pPr>
      <w:pStyle w:val="Header"/>
      <w:jc w:val="center"/>
      <w:rPr>
        <w:u w:val="single"/>
      </w:rPr>
    </w:pPr>
    <w:r>
      <w:rPr>
        <w:u w:val="single"/>
      </w:rPr>
      <w:t xml:space="preserve">Key Stage 2 History – </w:t>
    </w:r>
    <w:r w:rsidR="000D0D66">
      <w:rPr>
        <w:u w:val="single"/>
      </w:rPr>
      <w:t>Ancient Egyptians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4471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1A3647A8"/>
    <w:multiLevelType w:val="multilevel"/>
    <w:tmpl w:val="89B8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70436"/>
    <w:multiLevelType w:val="multilevel"/>
    <w:tmpl w:val="7D7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17C07"/>
    <w:multiLevelType w:val="multilevel"/>
    <w:tmpl w:val="F5D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35E4D"/>
    <w:multiLevelType w:val="multilevel"/>
    <w:tmpl w:val="FA58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F11AB"/>
    <w:multiLevelType w:val="multilevel"/>
    <w:tmpl w:val="105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F56E2"/>
    <w:multiLevelType w:val="multilevel"/>
    <w:tmpl w:val="A5BE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A74B9"/>
    <w:multiLevelType w:val="hybridMultilevel"/>
    <w:tmpl w:val="50985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6"/>
  </w:num>
  <w:num w:numId="2" w16cid:durableId="295529825">
    <w:abstractNumId w:val="0"/>
  </w:num>
  <w:num w:numId="3" w16cid:durableId="817965915">
    <w:abstractNumId w:val="4"/>
  </w:num>
  <w:num w:numId="4" w16cid:durableId="777794919">
    <w:abstractNumId w:val="2"/>
  </w:num>
  <w:num w:numId="5" w16cid:durableId="7369333">
    <w:abstractNumId w:val="3"/>
  </w:num>
  <w:num w:numId="6" w16cid:durableId="2057507114">
    <w:abstractNumId w:val="5"/>
  </w:num>
  <w:num w:numId="7" w16cid:durableId="1596161504">
    <w:abstractNumId w:val="8"/>
  </w:num>
  <w:num w:numId="8" w16cid:durableId="1162234474">
    <w:abstractNumId w:val="7"/>
  </w:num>
  <w:num w:numId="9" w16cid:durableId="11839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B29CB"/>
    <w:rsid w:val="000D0D66"/>
    <w:rsid w:val="0018518C"/>
    <w:rsid w:val="00195A54"/>
    <w:rsid w:val="002044C3"/>
    <w:rsid w:val="002360A4"/>
    <w:rsid w:val="00317298"/>
    <w:rsid w:val="00383BE2"/>
    <w:rsid w:val="00383CA2"/>
    <w:rsid w:val="003841A5"/>
    <w:rsid w:val="003B0F36"/>
    <w:rsid w:val="003C7554"/>
    <w:rsid w:val="00434841"/>
    <w:rsid w:val="00453465"/>
    <w:rsid w:val="00454298"/>
    <w:rsid w:val="00546298"/>
    <w:rsid w:val="005729DB"/>
    <w:rsid w:val="0057771D"/>
    <w:rsid w:val="005B47A0"/>
    <w:rsid w:val="005E4732"/>
    <w:rsid w:val="00603C60"/>
    <w:rsid w:val="0069556E"/>
    <w:rsid w:val="006E02F1"/>
    <w:rsid w:val="006E6A2B"/>
    <w:rsid w:val="007B1D08"/>
    <w:rsid w:val="007C30C6"/>
    <w:rsid w:val="008D66CC"/>
    <w:rsid w:val="00900F29"/>
    <w:rsid w:val="00905EEB"/>
    <w:rsid w:val="00980A52"/>
    <w:rsid w:val="00A87D9A"/>
    <w:rsid w:val="00AD6CF3"/>
    <w:rsid w:val="00B15262"/>
    <w:rsid w:val="00B72AF3"/>
    <w:rsid w:val="00BB21E9"/>
    <w:rsid w:val="00BB77C9"/>
    <w:rsid w:val="00C47C35"/>
    <w:rsid w:val="00C55810"/>
    <w:rsid w:val="00C73D12"/>
    <w:rsid w:val="00D7225F"/>
    <w:rsid w:val="00D81E35"/>
    <w:rsid w:val="00D830AC"/>
    <w:rsid w:val="00D862A9"/>
    <w:rsid w:val="00E328D1"/>
    <w:rsid w:val="00E73465"/>
    <w:rsid w:val="00EA7126"/>
    <w:rsid w:val="00EA7C41"/>
    <w:rsid w:val="00EF6385"/>
    <w:rsid w:val="00F10CF5"/>
    <w:rsid w:val="00F671E2"/>
    <w:rsid w:val="00F83601"/>
    <w:rsid w:val="06866210"/>
    <w:rsid w:val="0C1C277E"/>
    <w:rsid w:val="145840CD"/>
    <w:rsid w:val="39BECB2F"/>
    <w:rsid w:val="3A8CC2B2"/>
    <w:rsid w:val="3B1398DF"/>
    <w:rsid w:val="4595DA91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AA90E3-0E5E-4496-86E0-9112D8C9875F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Doran, Natalie</cp:lastModifiedBy>
  <cp:revision>2</cp:revision>
  <dcterms:created xsi:type="dcterms:W3CDTF">2025-09-26T13:14:00Z</dcterms:created>
  <dcterms:modified xsi:type="dcterms:W3CDTF">2025-09-26T13:14:00Z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