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Pr="008A0B27" w:rsidR="00195A54" w:rsidTr="0F0E932A" w14:paraId="1620C76D" w14:textId="77777777">
        <w:tc>
          <w:tcPr>
            <w:tcW w:w="13948" w:type="dxa"/>
            <w:gridSpan w:val="2"/>
            <w:shd w:val="clear" w:color="auto" w:fill="FAE2D5" w:themeFill="accent2" w:themeFillTint="33"/>
            <w:tcMar/>
          </w:tcPr>
          <w:p w:rsidRPr="008A0B27" w:rsidR="00195A54" w:rsidRDefault="005925D2" w14:paraId="7F4BB30C" w14:textId="39F9431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The Tempest</w:t>
            </w:r>
          </w:p>
        </w:tc>
      </w:tr>
      <w:tr w:rsidRPr="008A0B27" w:rsidR="00195A54" w:rsidTr="0F0E932A" w14:paraId="61C58675" w14:textId="77777777">
        <w:tc>
          <w:tcPr>
            <w:tcW w:w="13948" w:type="dxa"/>
            <w:gridSpan w:val="2"/>
            <w:tcMar/>
          </w:tcPr>
          <w:p w:rsidRPr="008A0B27" w:rsidR="00195A54" w:rsidRDefault="00195A54" w14:paraId="139F6905" w14:textId="30C56529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Expected Outcomes</w:t>
            </w:r>
          </w:p>
          <w:p w:rsidR="00FA264C" w:rsidP="00FA264C" w:rsidRDefault="00C94B2E" w14:paraId="5135EAE6" w14:textId="0BAB5F59">
            <w:pPr>
              <w:rPr>
                <w:rFonts w:ascii="Calibri" w:hAnsi="Calibri" w:cs="Calibri"/>
              </w:rPr>
            </w:pPr>
            <w:r w:rsidRPr="00FA264C">
              <w:rPr>
                <w:rFonts w:ascii="Calibri" w:hAnsi="Calibri" w:cs="Calibri"/>
              </w:rPr>
              <w:t xml:space="preserve">Learners </w:t>
            </w:r>
            <w:r w:rsidR="00FA264C">
              <w:rPr>
                <w:rFonts w:ascii="Calibri" w:hAnsi="Calibri" w:cs="Calibri"/>
              </w:rPr>
              <w:t>will</w:t>
            </w:r>
            <w:r w:rsidR="00BA3DE1">
              <w:rPr>
                <w:rFonts w:ascii="Calibri" w:hAnsi="Calibri" w:cs="Calibri"/>
              </w:rPr>
              <w:t>:</w:t>
            </w:r>
          </w:p>
          <w:p w:rsidR="005F02F1" w:rsidP="005925D2" w:rsidRDefault="00BB6A8F" w14:paraId="4DB45920" w14:textId="2167FE9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Explore attitudes towards theatre </w:t>
            </w:r>
            <w:r w:rsidR="00437B59">
              <w:rPr>
                <w:rFonts w:ascii="Calibri" w:hAnsi="Calibri" w:cs="Calibri"/>
              </w:rPr>
              <w:t xml:space="preserve">and compare theatre from the past </w:t>
            </w:r>
            <w:r w:rsidR="004914E1">
              <w:rPr>
                <w:rFonts w:ascii="Calibri" w:hAnsi="Calibri" w:cs="Calibri"/>
              </w:rPr>
              <w:t xml:space="preserve">(including Shakespearean theatre) </w:t>
            </w:r>
            <w:r w:rsidR="00437B59">
              <w:rPr>
                <w:rFonts w:ascii="Calibri" w:hAnsi="Calibri" w:cs="Calibri"/>
              </w:rPr>
              <w:t xml:space="preserve">with theatre today. </w:t>
            </w:r>
          </w:p>
          <w:p w:rsidR="00437B59" w:rsidP="005925D2" w:rsidRDefault="00437B59" w14:paraId="760B2F90" w14:textId="373FA7B9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Understand the plot</w:t>
            </w:r>
            <w:r w:rsidR="000B3D97">
              <w:rPr>
                <w:rFonts w:ascii="Calibri" w:hAnsi="Calibri" w:cs="Calibri"/>
              </w:rPr>
              <w:t xml:space="preserve"> and characters</w:t>
            </w:r>
            <w:r>
              <w:rPr>
                <w:rFonts w:ascii="Calibri" w:hAnsi="Calibri" w:cs="Calibri"/>
              </w:rPr>
              <w:t xml:space="preserve"> </w:t>
            </w:r>
            <w:r w:rsidR="000B3D97">
              <w:rPr>
                <w:rFonts w:ascii="Calibri" w:hAnsi="Calibri" w:cs="Calibri"/>
              </w:rPr>
              <w:t xml:space="preserve">in </w:t>
            </w:r>
            <w:r>
              <w:rPr>
                <w:rFonts w:ascii="Calibri" w:hAnsi="Calibri" w:cs="Calibri"/>
              </w:rPr>
              <w:t xml:space="preserve">Shakespeare’s ‘The Tempest’. </w:t>
            </w:r>
          </w:p>
          <w:p w:rsidR="005545B5" w:rsidP="005545B5" w:rsidRDefault="005545B5" w14:paraId="47509AB4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Understand the conventions of a comedy play. </w:t>
            </w:r>
          </w:p>
          <w:p w:rsidRPr="00215001" w:rsidR="009A21CE" w:rsidP="00215001" w:rsidRDefault="005545B5" w14:paraId="51AFD685" w14:textId="7746294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Analyse the theme</w:t>
            </w:r>
            <w:r w:rsidR="000B3D97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 of power</w:t>
            </w:r>
            <w:r w:rsidR="000B3D97">
              <w:rPr>
                <w:rFonts w:ascii="Calibri" w:hAnsi="Calibri" w:cs="Calibri"/>
              </w:rPr>
              <w:t xml:space="preserve"> and inequality</w:t>
            </w:r>
            <w:r>
              <w:rPr>
                <w:rFonts w:ascii="Calibri" w:hAnsi="Calibri" w:cs="Calibri"/>
              </w:rPr>
              <w:t xml:space="preserve"> at various </w:t>
            </w:r>
            <w:r w:rsidR="00603AD0">
              <w:rPr>
                <w:rFonts w:ascii="Calibri" w:hAnsi="Calibri" w:cs="Calibri"/>
              </w:rPr>
              <w:t>points in</w:t>
            </w:r>
            <w:r>
              <w:rPr>
                <w:rFonts w:ascii="Calibri" w:hAnsi="Calibri" w:cs="Calibri"/>
              </w:rPr>
              <w:t xml:space="preserve"> ‘The Tempest’. </w:t>
            </w:r>
          </w:p>
        </w:tc>
      </w:tr>
      <w:tr w:rsidRPr="008A0B27" w:rsidR="00C305AB" w:rsidTr="0F0E932A" w14:paraId="728D6443" w14:textId="77777777">
        <w:tc>
          <w:tcPr>
            <w:tcW w:w="13948" w:type="dxa"/>
            <w:gridSpan w:val="2"/>
            <w:tcMar/>
          </w:tcPr>
          <w:p w:rsidRPr="008A0B27" w:rsidR="00A811BE" w:rsidP="00A811BE" w:rsidRDefault="00A811BE" w14:paraId="4498F310" w14:textId="77777777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Developmental Focus Opportunities</w:t>
            </w:r>
          </w:p>
          <w:p w:rsidR="00E01546" w:rsidP="005925D2" w:rsidRDefault="00A43942" w14:paraId="14E680F0" w14:textId="03AF7F74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Increa</w:t>
            </w:r>
            <w:r w:rsidR="00B91B9C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e cultural awareness </w:t>
            </w:r>
            <w:r w:rsidR="000B27BA">
              <w:rPr>
                <w:rFonts w:ascii="Calibri" w:hAnsi="Calibri" w:cs="Calibri"/>
              </w:rPr>
              <w:t xml:space="preserve">through </w:t>
            </w:r>
            <w:r>
              <w:rPr>
                <w:rFonts w:ascii="Calibri" w:hAnsi="Calibri" w:cs="Calibri"/>
              </w:rPr>
              <w:t>a</w:t>
            </w:r>
            <w:r w:rsidR="009A21CE">
              <w:rPr>
                <w:rFonts w:ascii="Calibri" w:hAnsi="Calibri" w:cs="Calibri"/>
              </w:rPr>
              <w:t xml:space="preserve"> trip to the theatre</w:t>
            </w:r>
            <w:r>
              <w:rPr>
                <w:rFonts w:ascii="Calibri" w:hAnsi="Calibri" w:cs="Calibri"/>
              </w:rPr>
              <w:t xml:space="preserve">. </w:t>
            </w:r>
          </w:p>
          <w:p w:rsidR="00A43942" w:rsidP="005925D2" w:rsidRDefault="000B27BA" w14:paraId="26D552BA" w14:textId="6D9424F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4736CD26" w:rsidR="67FEE2E7">
              <w:rPr>
                <w:rFonts w:ascii="Calibri" w:hAnsi="Calibri" w:cs="Calibri"/>
              </w:rPr>
              <w:t>Communication</w:t>
            </w:r>
            <w:r w:rsidRPr="4736CD26" w:rsidR="59E8BF7B">
              <w:rPr>
                <w:rFonts w:ascii="Calibri" w:hAnsi="Calibri" w:cs="Calibri"/>
              </w:rPr>
              <w:t xml:space="preserve">, </w:t>
            </w:r>
            <w:r w:rsidRPr="4736CD26" w:rsidR="67FEE2E7">
              <w:rPr>
                <w:rFonts w:ascii="Calibri" w:hAnsi="Calibri" w:cs="Calibri"/>
              </w:rPr>
              <w:t>language</w:t>
            </w:r>
            <w:r w:rsidRPr="4736CD26" w:rsidR="59E8BF7B">
              <w:rPr>
                <w:rFonts w:ascii="Calibri" w:hAnsi="Calibri" w:cs="Calibri"/>
              </w:rPr>
              <w:t xml:space="preserve"> and literacy</w:t>
            </w:r>
            <w:r w:rsidRPr="4736CD26" w:rsidR="67FEE2E7">
              <w:rPr>
                <w:rFonts w:ascii="Calibri" w:hAnsi="Calibri" w:cs="Calibri"/>
              </w:rPr>
              <w:t xml:space="preserve">: </w:t>
            </w:r>
            <w:r w:rsidRPr="4736CD26" w:rsidR="0DC43CA1">
              <w:rPr>
                <w:rFonts w:ascii="Calibri" w:hAnsi="Calibri" w:cs="Calibri"/>
              </w:rPr>
              <w:t>Discussions and debates about power and colonialism, translate short extracts of Shakespeare into modern English,</w:t>
            </w:r>
            <w:r w:rsidRPr="4736CD26" w:rsidR="76A91530">
              <w:rPr>
                <w:rFonts w:ascii="Calibri" w:hAnsi="Calibri" w:cs="Calibri"/>
              </w:rPr>
              <w:t xml:space="preserve"> </w:t>
            </w:r>
            <w:r w:rsidRPr="4736CD26" w:rsidR="76A91530">
              <w:rPr>
                <w:rFonts w:ascii="Calibri" w:hAnsi="Calibri" w:cs="Calibri"/>
              </w:rPr>
              <w:t>rehearse</w:t>
            </w:r>
            <w:r w:rsidRPr="4736CD26" w:rsidR="76A91530">
              <w:rPr>
                <w:rFonts w:ascii="Calibri" w:hAnsi="Calibri" w:cs="Calibri"/>
              </w:rPr>
              <w:t xml:space="preserve"> and act out key scenes from the play. </w:t>
            </w:r>
            <w:r w:rsidRPr="4736CD26" w:rsidR="59E8BF7B">
              <w:rPr>
                <w:rFonts w:ascii="Calibri" w:hAnsi="Calibri" w:cs="Calibri"/>
              </w:rPr>
              <w:t>Reading and writing opportunities as outlined</w:t>
            </w:r>
            <w:r w:rsidRPr="4736CD26" w:rsidR="1AECC065">
              <w:rPr>
                <w:rFonts w:ascii="Calibri" w:hAnsi="Calibri" w:cs="Calibri"/>
              </w:rPr>
              <w:t>, focusing on building confidence and reducing anxiety surrounding literacy tasks</w:t>
            </w:r>
            <w:r w:rsidRPr="4736CD26" w:rsidR="59E8BF7B">
              <w:rPr>
                <w:rFonts w:ascii="Calibri" w:hAnsi="Calibri" w:cs="Calibri"/>
              </w:rPr>
              <w:t xml:space="preserve">. </w:t>
            </w:r>
          </w:p>
          <w:p w:rsidR="0043384C" w:rsidP="005925D2" w:rsidRDefault="005844C9" w14:paraId="50E3FF52" w14:textId="3C7F3A19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PSED: Reflect on how characters such as Ariel and </w:t>
            </w:r>
            <w:r w:rsidR="00FE1D52">
              <w:rPr>
                <w:rFonts w:ascii="Calibri" w:hAnsi="Calibri" w:cs="Calibri"/>
              </w:rPr>
              <w:t>Caliban might feel to develop empathy</w:t>
            </w:r>
            <w:r w:rsidR="0014202D">
              <w:rPr>
                <w:rFonts w:ascii="Calibri" w:hAnsi="Calibri" w:cs="Calibri"/>
              </w:rPr>
              <w:t>.</w:t>
            </w:r>
          </w:p>
          <w:p w:rsidR="00B91B9C" w:rsidP="00B91B9C" w:rsidRDefault="0014202D" w14:paraId="719C749F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Physical development: Drama activities for gross motor skills and writing activities for fine motor skills. </w:t>
            </w:r>
          </w:p>
          <w:p w:rsidRPr="00B91B9C" w:rsidR="001902C2" w:rsidP="00B91B9C" w:rsidRDefault="00E236AB" w14:paraId="09266D83" w14:textId="5A3D02AC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B91B9C">
              <w:rPr>
                <w:rFonts w:ascii="Calibri" w:hAnsi="Calibri" w:cs="Calibri"/>
              </w:rPr>
              <w:t xml:space="preserve">Mathematics: Explore </w:t>
            </w:r>
            <w:r w:rsidRPr="00B91B9C" w:rsidR="00CB0C01">
              <w:rPr>
                <w:rFonts w:ascii="Calibri" w:hAnsi="Calibri" w:cs="Calibri"/>
              </w:rPr>
              <w:t>rhythmic patterns in Shakespeare’s verse (iambic pentameter).</w:t>
            </w:r>
          </w:p>
          <w:p w:rsidR="00CB0C01" w:rsidP="005925D2" w:rsidRDefault="0041192D" w14:paraId="355EDE51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Understanding the world: </w:t>
            </w:r>
            <w:r w:rsidR="00BE1BE2">
              <w:rPr>
                <w:rFonts w:ascii="Calibri" w:hAnsi="Calibri" w:cs="Calibri"/>
              </w:rPr>
              <w:t>Discuss how different societies interpret t</w:t>
            </w:r>
            <w:r w:rsidR="00E87B91">
              <w:rPr>
                <w:rFonts w:ascii="Calibri" w:hAnsi="Calibri" w:cs="Calibri"/>
              </w:rPr>
              <w:t xml:space="preserve">hemes of power and servitude and how attitudes have changed over time. </w:t>
            </w:r>
          </w:p>
          <w:p w:rsidRPr="00E01546" w:rsidR="00AE466E" w:rsidP="005925D2" w:rsidRDefault="00AE466E" w14:paraId="4FB875D6" w14:textId="1DDEDC31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Expressive arts and design: </w:t>
            </w:r>
            <w:r w:rsidR="008D6EED">
              <w:rPr>
                <w:rFonts w:ascii="Calibri" w:hAnsi="Calibri" w:cs="Calibri"/>
              </w:rPr>
              <w:t xml:space="preserve">Set and costume design. </w:t>
            </w:r>
          </w:p>
        </w:tc>
      </w:tr>
      <w:tr w:rsidRPr="008A0B27" w:rsidR="00195A54" w:rsidTr="0F0E932A" w14:paraId="4E7257A0" w14:textId="77777777">
        <w:tc>
          <w:tcPr>
            <w:tcW w:w="6974" w:type="dxa"/>
            <w:shd w:val="clear" w:color="auto" w:fill="FAE2D5" w:themeFill="accent2" w:themeFillTint="33"/>
            <w:tcMar/>
          </w:tcPr>
          <w:p w:rsidRPr="008A0B27" w:rsidR="00195A54" w:rsidRDefault="00195A54" w14:paraId="71C414B0" w14:textId="357DA0E9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Key Learning Points</w:t>
            </w:r>
          </w:p>
        </w:tc>
        <w:tc>
          <w:tcPr>
            <w:tcW w:w="6974" w:type="dxa"/>
            <w:shd w:val="clear" w:color="auto" w:fill="FAE2D5" w:themeFill="accent2" w:themeFillTint="33"/>
            <w:tcMar/>
          </w:tcPr>
          <w:p w:rsidRPr="008A0B27" w:rsidR="00195A54" w:rsidRDefault="00195A54" w14:paraId="0A5A8A25" w14:textId="4876B950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Powerful Knowledge</w:t>
            </w:r>
          </w:p>
        </w:tc>
      </w:tr>
      <w:tr w:rsidRPr="008A0B27" w:rsidR="00195A54" w:rsidTr="0F0E932A" w14:paraId="06DADF0D" w14:textId="77777777">
        <w:tc>
          <w:tcPr>
            <w:tcW w:w="6974" w:type="dxa"/>
            <w:tcMar/>
          </w:tcPr>
          <w:p w:rsidR="00081B52" w:rsidP="005925D2" w:rsidRDefault="00BD4C2F" w14:paraId="6E7AB3D6" w14:textId="2F32A102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F0E932A" w:rsidR="00BD4C2F">
              <w:rPr>
                <w:rFonts w:ascii="Calibri" w:hAnsi="Calibri" w:cs="Calibri"/>
              </w:rPr>
              <w:t xml:space="preserve">I </w:t>
            </w:r>
            <w:r w:rsidRPr="0F0E932A" w:rsidR="00081B52">
              <w:rPr>
                <w:rFonts w:ascii="Calibri" w:hAnsi="Calibri" w:cs="Calibri"/>
              </w:rPr>
              <w:t xml:space="preserve">can </w:t>
            </w:r>
            <w:r w:rsidRPr="0F0E932A" w:rsidR="00C27756">
              <w:rPr>
                <w:rFonts w:ascii="Calibri" w:hAnsi="Calibri" w:cs="Calibri"/>
              </w:rPr>
              <w:t xml:space="preserve">understand and compare attitudes towards theatre. </w:t>
            </w:r>
          </w:p>
          <w:p w:rsidR="00C37469" w:rsidP="005925D2" w:rsidRDefault="00081B52" w14:paraId="0C89CB66" w14:textId="2EA7E99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 </w:t>
            </w:r>
            <w:r w:rsidR="00BD4C2F">
              <w:rPr>
                <w:rFonts w:ascii="Calibri" w:hAnsi="Calibri" w:cs="Calibri"/>
              </w:rPr>
              <w:t>can</w:t>
            </w:r>
            <w:r w:rsidR="00BA18DA">
              <w:rPr>
                <w:rFonts w:ascii="Calibri" w:hAnsi="Calibri" w:cs="Calibri"/>
              </w:rPr>
              <w:t xml:space="preserve"> understand the conventions of a comedy play and</w:t>
            </w:r>
            <w:r w:rsidR="00BD4C2F">
              <w:rPr>
                <w:rFonts w:ascii="Calibri" w:hAnsi="Calibri" w:cs="Calibri"/>
              </w:rPr>
              <w:t xml:space="preserve"> </w:t>
            </w:r>
            <w:r w:rsidR="005925D2">
              <w:rPr>
                <w:rFonts w:ascii="Calibri" w:hAnsi="Calibri" w:cs="Calibri"/>
              </w:rPr>
              <w:t>explain the plot of Shakespeare’s ‘The Tempest’</w:t>
            </w:r>
          </w:p>
          <w:p w:rsidR="00200A5E" w:rsidP="005925D2" w:rsidRDefault="006F62DF" w14:paraId="019BD123" w14:textId="2CA8968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 can </w:t>
            </w:r>
            <w:r w:rsidR="00200A5E">
              <w:rPr>
                <w:rFonts w:ascii="Calibri" w:hAnsi="Calibri" w:cs="Calibri"/>
              </w:rPr>
              <w:t xml:space="preserve">confidently recall the plot of ‘The Tempest’ and link </w:t>
            </w:r>
            <w:r w:rsidR="00F712BC">
              <w:rPr>
                <w:rFonts w:ascii="Calibri" w:hAnsi="Calibri" w:cs="Calibri"/>
              </w:rPr>
              <w:t xml:space="preserve">it </w:t>
            </w:r>
            <w:r w:rsidR="00200A5E">
              <w:rPr>
                <w:rFonts w:ascii="Calibri" w:hAnsi="Calibri" w:cs="Calibri"/>
              </w:rPr>
              <w:t xml:space="preserve">to key themes. </w:t>
            </w:r>
          </w:p>
          <w:p w:rsidR="005925D2" w:rsidP="005925D2" w:rsidRDefault="00F712BC" w14:paraId="168C5BE9" w14:textId="2CCF5B3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can confidently identify the roles of each of the main characters</w:t>
            </w:r>
            <w:r w:rsidR="00C903E7">
              <w:rPr>
                <w:rFonts w:ascii="Calibri" w:hAnsi="Calibri" w:cs="Calibri"/>
              </w:rPr>
              <w:t xml:space="preserve"> and their relationship to secondary characters</w:t>
            </w:r>
            <w:r>
              <w:rPr>
                <w:rFonts w:ascii="Calibri" w:hAnsi="Calibri" w:cs="Calibri"/>
              </w:rPr>
              <w:t xml:space="preserve"> </w:t>
            </w:r>
            <w:r w:rsidR="00052494">
              <w:rPr>
                <w:rFonts w:ascii="Calibri" w:hAnsi="Calibri" w:cs="Calibri"/>
              </w:rPr>
              <w:t>from Shakespeare’s</w:t>
            </w:r>
            <w:r>
              <w:rPr>
                <w:rFonts w:ascii="Calibri" w:hAnsi="Calibri" w:cs="Calibri"/>
              </w:rPr>
              <w:t xml:space="preserve"> ‘The Tempest’</w:t>
            </w:r>
            <w:r w:rsidR="00C903E7">
              <w:rPr>
                <w:rFonts w:ascii="Calibri" w:hAnsi="Calibri" w:cs="Calibri"/>
              </w:rPr>
              <w:t xml:space="preserve">. </w:t>
            </w:r>
          </w:p>
          <w:p w:rsidR="00FD6317" w:rsidP="005925D2" w:rsidRDefault="001A0920" w14:paraId="3882EE68" w14:textId="2723454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can analyse the power dynamics between Prospero</w:t>
            </w:r>
            <w:r w:rsidR="00B40FE9">
              <w:rPr>
                <w:rFonts w:ascii="Calibri" w:hAnsi="Calibri" w:cs="Calibri"/>
              </w:rPr>
              <w:t xml:space="preserve"> and Ariel in Shakespeare’s ‘The Tempest’</w:t>
            </w:r>
            <w:r>
              <w:rPr>
                <w:rFonts w:ascii="Calibri" w:hAnsi="Calibri" w:cs="Calibri"/>
              </w:rPr>
              <w:t xml:space="preserve">. </w:t>
            </w:r>
          </w:p>
          <w:p w:rsidR="001A0920" w:rsidP="005925D2" w:rsidRDefault="00546A6E" w14:paraId="7F7D7F79" w14:textId="103FCA24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can analyse the ways Prospero exerts his power over Caliban in Shakespeare’s ‘The Tempest’</w:t>
            </w:r>
            <w:r w:rsidR="007C3028">
              <w:rPr>
                <w:rFonts w:ascii="Calibri" w:hAnsi="Calibri" w:cs="Calibri"/>
              </w:rPr>
              <w:t xml:space="preserve"> and how this might relate to ideas of colonialism. </w:t>
            </w:r>
          </w:p>
          <w:p w:rsidRPr="008D6EED" w:rsidR="00662D4D" w:rsidP="008D6EED" w:rsidRDefault="00455EF7" w14:paraId="13987915" w14:textId="700E7CBC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 can </w:t>
            </w:r>
            <w:r w:rsidR="00CD62E3">
              <w:rPr>
                <w:rFonts w:ascii="Calibri" w:hAnsi="Calibri" w:cs="Calibri"/>
              </w:rPr>
              <w:t xml:space="preserve">explore how the theme of inequality is presented throughout the play. </w:t>
            </w:r>
          </w:p>
        </w:tc>
        <w:tc>
          <w:tcPr>
            <w:tcW w:w="6974" w:type="dxa"/>
            <w:tcMar/>
          </w:tcPr>
          <w:p w:rsidRPr="008A0B27" w:rsidR="00195A54" w:rsidRDefault="00E85D8E" w14:paraId="5B69D9F1" w14:textId="2CE101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Learners will explore and analyse</w:t>
            </w:r>
            <w:r w:rsidR="001278B9">
              <w:rPr>
                <w:rFonts w:ascii="Calibri" w:hAnsi="Calibri" w:cs="Calibri"/>
              </w:rPr>
              <w:t xml:space="preserve"> Shakespeare’s</w:t>
            </w:r>
            <w:r>
              <w:rPr>
                <w:rFonts w:ascii="Calibri" w:hAnsi="Calibri" w:cs="Calibri"/>
              </w:rPr>
              <w:t xml:space="preserve"> </w:t>
            </w:r>
            <w:r w:rsidR="008C40F9">
              <w:rPr>
                <w:rFonts w:ascii="Calibri" w:hAnsi="Calibri" w:cs="Calibri"/>
              </w:rPr>
              <w:t xml:space="preserve">‘The Tempest’, thereby </w:t>
            </w:r>
            <w:r w:rsidR="00394B72">
              <w:rPr>
                <w:rFonts w:ascii="Calibri" w:hAnsi="Calibri" w:cs="Calibri"/>
              </w:rPr>
              <w:t xml:space="preserve">accessing the literary canon. </w:t>
            </w:r>
            <w:r w:rsidR="000F2CD9">
              <w:rPr>
                <w:rFonts w:ascii="Calibri" w:hAnsi="Calibri" w:cs="Calibri"/>
              </w:rPr>
              <w:t>They will compare and discuss attitudes to theatre and challenge any misconceptions</w:t>
            </w:r>
            <w:r w:rsidR="0002593E">
              <w:rPr>
                <w:rFonts w:ascii="Calibri" w:hAnsi="Calibri" w:cs="Calibri"/>
              </w:rPr>
              <w:t>. Learners will understand</w:t>
            </w:r>
            <w:r w:rsidR="00811D73">
              <w:rPr>
                <w:rFonts w:ascii="Calibri" w:hAnsi="Calibri" w:cs="Calibri"/>
              </w:rPr>
              <w:t xml:space="preserve"> and analyse</w:t>
            </w:r>
            <w:r w:rsidR="0002593E">
              <w:rPr>
                <w:rFonts w:ascii="Calibri" w:hAnsi="Calibri" w:cs="Calibri"/>
              </w:rPr>
              <w:t xml:space="preserve"> the plot, characters and themes of the play and </w:t>
            </w:r>
            <w:r w:rsidR="001278B9">
              <w:rPr>
                <w:rFonts w:ascii="Calibri" w:hAnsi="Calibri" w:cs="Calibri"/>
              </w:rPr>
              <w:t xml:space="preserve">link this to ideas about colonialism. </w:t>
            </w:r>
          </w:p>
        </w:tc>
      </w:tr>
      <w:tr w:rsidRPr="008A0B27" w:rsidR="00195A54" w:rsidTr="0F0E932A" w14:paraId="11B5495E" w14:textId="77777777">
        <w:tc>
          <w:tcPr>
            <w:tcW w:w="6974" w:type="dxa"/>
            <w:shd w:val="clear" w:color="auto" w:fill="FAE2D5" w:themeFill="accent2" w:themeFillTint="33"/>
            <w:tcMar/>
          </w:tcPr>
          <w:p w:rsidRPr="008A0B27" w:rsidR="00195A54" w:rsidRDefault="00195A54" w14:paraId="7F9FC9CC" w14:textId="21929E12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 xml:space="preserve">Subject-Specific Vocabulary </w:t>
            </w:r>
          </w:p>
        </w:tc>
        <w:tc>
          <w:tcPr>
            <w:tcW w:w="6974" w:type="dxa"/>
            <w:shd w:val="clear" w:color="auto" w:fill="FAE2D5" w:themeFill="accent2" w:themeFillTint="33"/>
            <w:tcMar/>
          </w:tcPr>
          <w:p w:rsidRPr="008A0B27" w:rsidR="00195A54" w:rsidRDefault="00195A54" w14:paraId="300D8508" w14:textId="708DA0A1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Reading Opportunities</w:t>
            </w:r>
          </w:p>
        </w:tc>
      </w:tr>
      <w:tr w:rsidRPr="008A0B27" w:rsidR="00195A54" w:rsidTr="0F0E932A" w14:paraId="49B65D1F" w14:textId="77777777">
        <w:tc>
          <w:tcPr>
            <w:tcW w:w="6974" w:type="dxa"/>
            <w:tcMar/>
          </w:tcPr>
          <w:p w:rsidR="000116C6" w:rsidRDefault="009A6559" w14:paraId="75DEEB53" w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Theatre</w:t>
            </w:r>
          </w:p>
          <w:p w:rsidR="009A6559" w:rsidRDefault="00AE754F" w14:paraId="060985A5" w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Puritan</w:t>
            </w:r>
          </w:p>
          <w:p w:rsidR="00AE754F" w:rsidRDefault="002812EC" w14:paraId="6EC0EBF0" w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Mood</w:t>
            </w:r>
          </w:p>
          <w:p w:rsidR="002812EC" w:rsidRDefault="002812EC" w14:paraId="27950E76" w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Plot</w:t>
            </w:r>
          </w:p>
          <w:p w:rsidR="002812EC" w:rsidRDefault="00C50F02" w14:paraId="0C649FF7" w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Character</w:t>
            </w:r>
          </w:p>
          <w:p w:rsidR="00C50F02" w:rsidRDefault="00F53B79" w14:paraId="395D9F5F" w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Secondary character</w:t>
            </w:r>
          </w:p>
          <w:p w:rsidR="00F53B79" w:rsidRDefault="002F3958" w14:paraId="17B5DE16" w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Malignant</w:t>
            </w:r>
          </w:p>
          <w:p w:rsidR="002F3958" w:rsidRDefault="00EF5473" w14:paraId="0C18A683" w14:textId="4ECA6F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Staging</w:t>
            </w:r>
          </w:p>
          <w:p w:rsidR="00EF5473" w:rsidRDefault="001232BE" w14:paraId="1E2BCF2A" w14:textId="3C5D869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Power</w:t>
            </w:r>
          </w:p>
          <w:p w:rsidR="001232BE" w:rsidRDefault="001232BE" w14:paraId="4E78DE2D" w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Inequality </w:t>
            </w:r>
          </w:p>
          <w:p w:rsidR="001232BE" w:rsidRDefault="00767DD1" w14:paraId="79412E80" w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Conventions</w:t>
            </w:r>
          </w:p>
          <w:p w:rsidR="00767DD1" w:rsidRDefault="002674F0" w14:paraId="215CD285" w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Superior / inferior</w:t>
            </w:r>
          </w:p>
          <w:p w:rsidR="002674F0" w:rsidRDefault="00E9402F" w14:paraId="0DEB7E8B" w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Colonialism </w:t>
            </w:r>
          </w:p>
          <w:p w:rsidRPr="008A0B27" w:rsidR="007933D4" w:rsidRDefault="007933D4" w14:paraId="1E0D00A8" w14:textId="08EB15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Enslave </w:t>
            </w:r>
          </w:p>
        </w:tc>
        <w:tc>
          <w:tcPr>
            <w:tcW w:w="6974" w:type="dxa"/>
            <w:tcMar/>
          </w:tcPr>
          <w:p w:rsidR="00434841" w:rsidRDefault="00600EF9" w14:paraId="4BC72ACA" w14:textId="233E3E5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Shakespeare’s ‘The Tempest’</w:t>
            </w:r>
          </w:p>
          <w:p w:rsidR="008A0B27" w:rsidRDefault="008A0B27" w14:paraId="3D7133C3" w14:textId="77777777">
            <w:pPr>
              <w:rPr>
                <w:rFonts w:ascii="Calibri" w:hAnsi="Calibri" w:cs="Calibri"/>
              </w:rPr>
            </w:pPr>
          </w:p>
          <w:p w:rsidRPr="008A0B27" w:rsidR="008A0B27" w:rsidRDefault="008A0B27" w14:paraId="73DEE9A5" w14:textId="2DF647F9">
            <w:pPr>
              <w:rPr>
                <w:rFonts w:ascii="Calibri" w:hAnsi="Calibri" w:cs="Calibri"/>
              </w:rPr>
            </w:pPr>
          </w:p>
        </w:tc>
      </w:tr>
      <w:tr w:rsidRPr="008A0B27" w:rsidR="00195A54" w:rsidTr="0F0E932A" w14:paraId="52FDDB70" w14:textId="77777777">
        <w:tc>
          <w:tcPr>
            <w:tcW w:w="6974" w:type="dxa"/>
            <w:shd w:val="clear" w:color="auto" w:fill="FAE2D5" w:themeFill="accent2" w:themeFillTint="33"/>
            <w:tcMar/>
          </w:tcPr>
          <w:p w:rsidRPr="008A0B27" w:rsidR="00195A54" w:rsidRDefault="00195A54" w14:paraId="0F848A00" w14:textId="13D105B8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Possible Misconceptions</w:t>
            </w:r>
          </w:p>
        </w:tc>
        <w:tc>
          <w:tcPr>
            <w:tcW w:w="6974" w:type="dxa"/>
            <w:shd w:val="clear" w:color="auto" w:fill="FAE2D5" w:themeFill="accent2" w:themeFillTint="33"/>
            <w:tcMar/>
          </w:tcPr>
          <w:p w:rsidR="00195A54" w:rsidRDefault="00195A54" w14:paraId="30C004E6" w14:textId="77777777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Cross-Curricular Links</w:t>
            </w:r>
          </w:p>
          <w:p w:rsidRPr="008A0B27" w:rsidR="00DC0619" w:rsidRDefault="00DC0619" w14:paraId="6AAEE7C2" w14:textId="3C0F61C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8A0B27" w:rsidR="00195A54" w:rsidTr="0F0E932A" w14:paraId="542ABD73" w14:textId="77777777">
        <w:tc>
          <w:tcPr>
            <w:tcW w:w="6974" w:type="dxa"/>
            <w:tcMar/>
          </w:tcPr>
          <w:p w:rsidRPr="008A0B27" w:rsidR="00195A54" w:rsidP="4736CD26" w:rsidRDefault="00E8130A" w14:paraId="5C022E13" w14:textId="5216DDA7">
            <w:pPr>
              <w:rPr>
                <w:rFonts w:ascii="Calibri" w:hAnsi="Calibri" w:cs="Calibri"/>
              </w:rPr>
            </w:pPr>
            <w:r w:rsidRPr="4736CD26" w:rsidR="421EAA89">
              <w:rPr>
                <w:rFonts w:ascii="Calibri" w:hAnsi="Calibri" w:cs="Calibri"/>
              </w:rPr>
              <w:t>Learners may thin</w:t>
            </w:r>
            <w:r w:rsidRPr="4736CD26" w:rsidR="571BD173">
              <w:rPr>
                <w:rFonts w:ascii="Calibri" w:hAnsi="Calibri" w:cs="Calibri"/>
              </w:rPr>
              <w:t>k</w:t>
            </w:r>
            <w:r w:rsidRPr="4736CD26" w:rsidR="421EAA89">
              <w:rPr>
                <w:rFonts w:ascii="Calibri" w:hAnsi="Calibri" w:cs="Calibri"/>
              </w:rPr>
              <w:t xml:space="preserve"> that </w:t>
            </w:r>
            <w:r w:rsidRPr="4736CD26" w:rsidR="4293B122">
              <w:rPr>
                <w:rFonts w:ascii="Calibri" w:hAnsi="Calibri" w:cs="Calibri"/>
              </w:rPr>
              <w:t>all Shakespeare plays are serious and cannot be comedies.</w:t>
            </w:r>
            <w:r w:rsidRPr="4736CD26" w:rsidR="197F004B">
              <w:rPr>
                <w:rFonts w:ascii="Calibri" w:hAnsi="Calibri" w:cs="Calibri"/>
              </w:rPr>
              <w:t xml:space="preserve"> </w:t>
            </w:r>
          </w:p>
          <w:p w:rsidRPr="008A0B27" w:rsidR="00195A54" w:rsidP="4736CD26" w:rsidRDefault="00E8130A" w14:paraId="3DC6849C" w14:textId="6A178E4D">
            <w:pPr>
              <w:rPr>
                <w:rFonts w:ascii="Calibri" w:hAnsi="Calibri" w:cs="Calibri"/>
              </w:rPr>
            </w:pPr>
          </w:p>
          <w:p w:rsidRPr="008A0B27" w:rsidR="00195A54" w:rsidP="4736CD26" w:rsidRDefault="00E8130A" w14:paraId="3306BC27" w14:textId="15515A90">
            <w:pPr>
              <w:rPr>
                <w:rFonts w:ascii="Calibri" w:hAnsi="Calibri" w:cs="Calibri"/>
              </w:rPr>
            </w:pPr>
            <w:r w:rsidRPr="4736CD26" w:rsidR="197F004B">
              <w:rPr>
                <w:rFonts w:ascii="Calibri" w:hAnsi="Calibri" w:cs="Calibri"/>
              </w:rPr>
              <w:t>Learners may feel that theatre is for a particular type or class of person.</w:t>
            </w:r>
            <w:r w:rsidRPr="4736CD26" w:rsidR="2A3C4631">
              <w:rPr>
                <w:rFonts w:ascii="Calibri" w:hAnsi="Calibri" w:cs="Calibri"/>
              </w:rPr>
              <w:t xml:space="preserve"> They may think theatre is outdated or elite and not realise how accessible it was – and still is – to diverse audiences. </w:t>
            </w:r>
          </w:p>
          <w:p w:rsidRPr="008A0B27" w:rsidR="00195A54" w:rsidP="4736CD26" w:rsidRDefault="00E8130A" w14:paraId="047EBC83" w14:textId="36DF4073">
            <w:pPr>
              <w:rPr>
                <w:rFonts w:ascii="Calibri" w:hAnsi="Calibri" w:cs="Calibri"/>
              </w:rPr>
            </w:pPr>
          </w:p>
          <w:p w:rsidRPr="008A0B27" w:rsidR="00195A54" w:rsidP="4736CD26" w:rsidRDefault="00E8130A" w14:paraId="6927D433" w14:textId="230F6B40">
            <w:pPr>
              <w:rPr>
                <w:rFonts w:ascii="Calibri" w:hAnsi="Calibri" w:cs="Calibri"/>
              </w:rPr>
            </w:pPr>
            <w:r w:rsidRPr="4736CD26" w:rsidR="2A3C4631">
              <w:rPr>
                <w:rFonts w:ascii="Calibri" w:hAnsi="Calibri" w:cs="Calibri"/>
              </w:rPr>
              <w:t xml:space="preserve">Learners </w:t>
            </w:r>
            <w:r w:rsidRPr="4736CD26" w:rsidR="2A3C463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may not understand how Elizabethan theatre functioned (e.g. open-air, daylight performances, no elaborate scenery).</w:t>
            </w:r>
          </w:p>
          <w:p w:rsidRPr="008A0B27" w:rsidR="00195A54" w:rsidP="4736CD26" w:rsidRDefault="00E8130A" w14:paraId="0B9C6712" w14:textId="35084F0F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  <w:p w:rsidRPr="008A0B27" w:rsidR="00195A54" w:rsidRDefault="00E8130A" w14:paraId="0A87C515" w14:textId="0AC79A62">
            <w:pPr/>
            <w:r w:rsidRPr="4736CD26" w:rsidR="2A3C463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Learners might feel overwhelmed and assume the text is in a different language, rather than Early Modern English.</w:t>
            </w:r>
          </w:p>
          <w:p w:rsidRPr="008A0B27" w:rsidR="00195A54" w:rsidP="4736CD26" w:rsidRDefault="00E8130A" w14:paraId="73819FC2" w14:textId="1BC538D3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  <w:p w:rsidRPr="008A0B27" w:rsidR="00195A54" w:rsidRDefault="00E8130A" w14:paraId="022AAEC0" w14:textId="5C255ADC">
            <w:pPr/>
            <w:r w:rsidRPr="4736CD26" w:rsidR="59547F1D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Learners may struggle to understand the play's links to colonialism, especially in how Prospero treats Caliban and claims ownership of the island.</w:t>
            </w:r>
          </w:p>
          <w:p w:rsidRPr="008A0B27" w:rsidR="00195A54" w:rsidRDefault="00E8130A" w14:paraId="299CC210" w14:textId="495C851B">
            <w:pPr>
              <w:rPr>
                <w:rFonts w:ascii="Calibri" w:hAnsi="Calibri" w:cs="Calibri"/>
              </w:rPr>
            </w:pPr>
          </w:p>
        </w:tc>
        <w:tc>
          <w:tcPr>
            <w:tcW w:w="6974" w:type="dxa"/>
            <w:tcMar/>
          </w:tcPr>
          <w:p w:rsidR="005B77AD" w:rsidP="000F167E" w:rsidRDefault="009A21CE" w14:paraId="5FD60D0D" w14:textId="1354BD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History / geography – colonialism </w:t>
            </w:r>
          </w:p>
          <w:p w:rsidR="0041192D" w:rsidP="000F167E" w:rsidRDefault="0041192D" w14:paraId="51F4923C" w14:textId="695125C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History – Elizabethan England</w:t>
            </w:r>
          </w:p>
          <w:p w:rsidR="009A21CE" w:rsidP="000F167E" w:rsidRDefault="009A21CE" w14:paraId="3B229E37" w14:textId="77777777">
            <w:pPr>
              <w:rPr>
                <w:rFonts w:ascii="Calibri" w:hAnsi="Calibri" w:cs="Calibri"/>
              </w:rPr>
            </w:pPr>
          </w:p>
          <w:p w:rsidRPr="008A0B27" w:rsidR="008A0B27" w:rsidRDefault="008A0B27" w14:paraId="7DCD9DC6" w14:textId="792A58F6">
            <w:pPr>
              <w:rPr>
                <w:rFonts w:ascii="Calibri" w:hAnsi="Calibri" w:cs="Calibri"/>
              </w:rPr>
            </w:pPr>
          </w:p>
        </w:tc>
      </w:tr>
    </w:tbl>
    <w:p w:rsidRPr="008A0B27" w:rsidR="0018518C" w:rsidRDefault="0018518C" w14:paraId="0FB60DF5" w14:textId="77777777">
      <w:pPr>
        <w:rPr>
          <w:rFonts w:ascii="Calibri" w:hAnsi="Calibri" w:cs="Calibri"/>
        </w:rPr>
      </w:pPr>
    </w:p>
    <w:sectPr w:rsidRPr="008A0B27" w:rsidR="0018518C" w:rsidSect="00195A54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4550" w:rsidP="00195A54" w:rsidRDefault="00294550" w14:paraId="5326F6B4" w14:textId="77777777">
      <w:pPr>
        <w:spacing w:after="0" w:line="240" w:lineRule="auto"/>
      </w:pPr>
      <w:r>
        <w:separator/>
      </w:r>
    </w:p>
  </w:endnote>
  <w:endnote w:type="continuationSeparator" w:id="0">
    <w:p w:rsidR="00294550" w:rsidP="00195A54" w:rsidRDefault="00294550" w14:paraId="7B5EDBB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4550" w:rsidP="00195A54" w:rsidRDefault="00294550" w14:paraId="60C17B0F" w14:textId="77777777">
      <w:pPr>
        <w:spacing w:after="0" w:line="240" w:lineRule="auto"/>
      </w:pPr>
      <w:r>
        <w:separator/>
      </w:r>
    </w:p>
  </w:footnote>
  <w:footnote w:type="continuationSeparator" w:id="0">
    <w:p w:rsidR="00294550" w:rsidP="00195A54" w:rsidRDefault="00294550" w14:paraId="43DFBB1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A0B27" w:rsidR="00195A54" w:rsidP="00195A54" w:rsidRDefault="00195A54" w14:paraId="419C26E4" w14:textId="310160C4">
    <w:pPr>
      <w:pStyle w:val="Header"/>
      <w:jc w:val="center"/>
      <w:rPr>
        <w:rFonts w:ascii="Calibri" w:hAnsi="Calibri" w:cs="Calibri"/>
      </w:rPr>
    </w:pPr>
    <w:r w:rsidRPr="008A0B27">
      <w:rPr>
        <w:rFonts w:ascii="Calibri" w:hAnsi="Calibri" w:cs="Calibri"/>
      </w:rPr>
      <w:t xml:space="preserve">Year </w:t>
    </w:r>
    <w:r w:rsidR="007A215C">
      <w:rPr>
        <w:rFonts w:ascii="Calibri" w:hAnsi="Calibri" w:cs="Calibri"/>
      </w:rPr>
      <w:t>7</w:t>
    </w:r>
    <w:r w:rsidRPr="008A0B27">
      <w:rPr>
        <w:rFonts w:ascii="Calibri" w:hAnsi="Calibri" w:cs="Calibri"/>
      </w:rPr>
      <w:t xml:space="preserve"> English</w:t>
    </w:r>
    <w:r w:rsidR="008A0B27">
      <w:rPr>
        <w:rFonts w:ascii="Calibri" w:hAnsi="Calibri" w:cs="Calibri"/>
      </w:rPr>
      <w:t xml:space="preserve"> Unit </w:t>
    </w:r>
    <w:r w:rsidR="005925D2">
      <w:rPr>
        <w:rFonts w:ascii="Calibri" w:hAnsi="Calibri" w:cs="Calibri"/>
      </w:rPr>
      <w:t>2: The Tempest</w:t>
    </w:r>
  </w:p>
  <w:p w:rsidR="00195A54" w:rsidRDefault="00195A54" w14:paraId="290826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hint="default" w:ascii="Aptos" w:hAnsi="Aptos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hint="default" w:ascii="Aptos" w:hAnsi="Aptos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15665897">
    <w:abstractNumId w:val="1"/>
  </w:num>
  <w:num w:numId="2" w16cid:durableId="29552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116C6"/>
    <w:rsid w:val="0002593E"/>
    <w:rsid w:val="00025EB0"/>
    <w:rsid w:val="00052494"/>
    <w:rsid w:val="000663E9"/>
    <w:rsid w:val="00081B52"/>
    <w:rsid w:val="00090958"/>
    <w:rsid w:val="00090AB6"/>
    <w:rsid w:val="00096228"/>
    <w:rsid w:val="000B27BA"/>
    <w:rsid w:val="000B3D97"/>
    <w:rsid w:val="000B5BF3"/>
    <w:rsid w:val="000E6E4F"/>
    <w:rsid w:val="000E7587"/>
    <w:rsid w:val="000F15AA"/>
    <w:rsid w:val="000F167E"/>
    <w:rsid w:val="000F2CD9"/>
    <w:rsid w:val="001104A3"/>
    <w:rsid w:val="00120219"/>
    <w:rsid w:val="001232BE"/>
    <w:rsid w:val="001278B9"/>
    <w:rsid w:val="0014202D"/>
    <w:rsid w:val="0015119A"/>
    <w:rsid w:val="001771E7"/>
    <w:rsid w:val="0018518C"/>
    <w:rsid w:val="001902C2"/>
    <w:rsid w:val="00195A54"/>
    <w:rsid w:val="001A0920"/>
    <w:rsid w:val="001B0316"/>
    <w:rsid w:val="001E125E"/>
    <w:rsid w:val="001E2CAF"/>
    <w:rsid w:val="001F4149"/>
    <w:rsid w:val="00200A5E"/>
    <w:rsid w:val="00215001"/>
    <w:rsid w:val="00224017"/>
    <w:rsid w:val="00261B1D"/>
    <w:rsid w:val="002674F0"/>
    <w:rsid w:val="00271372"/>
    <w:rsid w:val="002812EC"/>
    <w:rsid w:val="00290B33"/>
    <w:rsid w:val="00294550"/>
    <w:rsid w:val="002A441B"/>
    <w:rsid w:val="002B01FA"/>
    <w:rsid w:val="002B649B"/>
    <w:rsid w:val="002F3958"/>
    <w:rsid w:val="003036F7"/>
    <w:rsid w:val="00304ABF"/>
    <w:rsid w:val="00394B72"/>
    <w:rsid w:val="003A6722"/>
    <w:rsid w:val="003B0957"/>
    <w:rsid w:val="003C6DC2"/>
    <w:rsid w:val="0041192D"/>
    <w:rsid w:val="0043384C"/>
    <w:rsid w:val="00434841"/>
    <w:rsid w:val="00437B59"/>
    <w:rsid w:val="0044344E"/>
    <w:rsid w:val="00455EF7"/>
    <w:rsid w:val="00466BC5"/>
    <w:rsid w:val="004914E1"/>
    <w:rsid w:val="00494F67"/>
    <w:rsid w:val="004B14C2"/>
    <w:rsid w:val="004E21CE"/>
    <w:rsid w:val="004F336B"/>
    <w:rsid w:val="00546298"/>
    <w:rsid w:val="00546A6E"/>
    <w:rsid w:val="005545B5"/>
    <w:rsid w:val="00570A2D"/>
    <w:rsid w:val="005754BB"/>
    <w:rsid w:val="005844C9"/>
    <w:rsid w:val="00586725"/>
    <w:rsid w:val="005925D2"/>
    <w:rsid w:val="005965A6"/>
    <w:rsid w:val="005B77AD"/>
    <w:rsid w:val="005F02F1"/>
    <w:rsid w:val="005F60F0"/>
    <w:rsid w:val="005F7F6C"/>
    <w:rsid w:val="00600EF9"/>
    <w:rsid w:val="006014F9"/>
    <w:rsid w:val="00603AD0"/>
    <w:rsid w:val="00603C60"/>
    <w:rsid w:val="006176D1"/>
    <w:rsid w:val="00620CB9"/>
    <w:rsid w:val="00631639"/>
    <w:rsid w:val="00662D4D"/>
    <w:rsid w:val="00670840"/>
    <w:rsid w:val="006B0CD6"/>
    <w:rsid w:val="006F62DF"/>
    <w:rsid w:val="007036BA"/>
    <w:rsid w:val="00722634"/>
    <w:rsid w:val="00767DD1"/>
    <w:rsid w:val="00790EE5"/>
    <w:rsid w:val="007933D4"/>
    <w:rsid w:val="007A215C"/>
    <w:rsid w:val="007C3028"/>
    <w:rsid w:val="007E5748"/>
    <w:rsid w:val="007E61FC"/>
    <w:rsid w:val="007E6477"/>
    <w:rsid w:val="00811D73"/>
    <w:rsid w:val="00826D3F"/>
    <w:rsid w:val="00827DC7"/>
    <w:rsid w:val="00831E6B"/>
    <w:rsid w:val="00874255"/>
    <w:rsid w:val="00882A95"/>
    <w:rsid w:val="00883D3B"/>
    <w:rsid w:val="0088661D"/>
    <w:rsid w:val="008A0B27"/>
    <w:rsid w:val="008A190B"/>
    <w:rsid w:val="008C40F9"/>
    <w:rsid w:val="008D45BB"/>
    <w:rsid w:val="008D66CC"/>
    <w:rsid w:val="008D6EED"/>
    <w:rsid w:val="00905EEB"/>
    <w:rsid w:val="009405AC"/>
    <w:rsid w:val="00953089"/>
    <w:rsid w:val="00986DA9"/>
    <w:rsid w:val="00992AE8"/>
    <w:rsid w:val="009A21CE"/>
    <w:rsid w:val="009A6559"/>
    <w:rsid w:val="009B563F"/>
    <w:rsid w:val="009C0F9F"/>
    <w:rsid w:val="009E4ACB"/>
    <w:rsid w:val="00A43942"/>
    <w:rsid w:val="00A50E25"/>
    <w:rsid w:val="00A549E5"/>
    <w:rsid w:val="00A55F57"/>
    <w:rsid w:val="00A811BE"/>
    <w:rsid w:val="00A87D9A"/>
    <w:rsid w:val="00AD6CCB"/>
    <w:rsid w:val="00AD6CF3"/>
    <w:rsid w:val="00AE1AA8"/>
    <w:rsid w:val="00AE466E"/>
    <w:rsid w:val="00AE754F"/>
    <w:rsid w:val="00B00E2B"/>
    <w:rsid w:val="00B40FE9"/>
    <w:rsid w:val="00B6402B"/>
    <w:rsid w:val="00B91B9C"/>
    <w:rsid w:val="00BA18DA"/>
    <w:rsid w:val="00BA2D41"/>
    <w:rsid w:val="00BA3DE1"/>
    <w:rsid w:val="00BB21E9"/>
    <w:rsid w:val="00BB6A8F"/>
    <w:rsid w:val="00BC559E"/>
    <w:rsid w:val="00BC5CC3"/>
    <w:rsid w:val="00BD4C2F"/>
    <w:rsid w:val="00BE1BE2"/>
    <w:rsid w:val="00C25BBD"/>
    <w:rsid w:val="00C27756"/>
    <w:rsid w:val="00C305AB"/>
    <w:rsid w:val="00C37469"/>
    <w:rsid w:val="00C50F02"/>
    <w:rsid w:val="00C631DA"/>
    <w:rsid w:val="00C87E9C"/>
    <w:rsid w:val="00C903E7"/>
    <w:rsid w:val="00C94B2E"/>
    <w:rsid w:val="00CA4BC9"/>
    <w:rsid w:val="00CB0C01"/>
    <w:rsid w:val="00CC2038"/>
    <w:rsid w:val="00CC5734"/>
    <w:rsid w:val="00CD62E3"/>
    <w:rsid w:val="00CE7F62"/>
    <w:rsid w:val="00D132FD"/>
    <w:rsid w:val="00D37A9D"/>
    <w:rsid w:val="00D42F1D"/>
    <w:rsid w:val="00D862A9"/>
    <w:rsid w:val="00DA22FD"/>
    <w:rsid w:val="00DA4336"/>
    <w:rsid w:val="00DC0619"/>
    <w:rsid w:val="00DD1E25"/>
    <w:rsid w:val="00DF460C"/>
    <w:rsid w:val="00E01546"/>
    <w:rsid w:val="00E10F4A"/>
    <w:rsid w:val="00E236AB"/>
    <w:rsid w:val="00E46B4E"/>
    <w:rsid w:val="00E8130A"/>
    <w:rsid w:val="00E85D8E"/>
    <w:rsid w:val="00E87B91"/>
    <w:rsid w:val="00E9402F"/>
    <w:rsid w:val="00EA7126"/>
    <w:rsid w:val="00EC3CA9"/>
    <w:rsid w:val="00ED62AE"/>
    <w:rsid w:val="00EF13D7"/>
    <w:rsid w:val="00EF5473"/>
    <w:rsid w:val="00F02685"/>
    <w:rsid w:val="00F1129E"/>
    <w:rsid w:val="00F41AD7"/>
    <w:rsid w:val="00F53B79"/>
    <w:rsid w:val="00F671E2"/>
    <w:rsid w:val="00F712BC"/>
    <w:rsid w:val="00F83601"/>
    <w:rsid w:val="00FA264C"/>
    <w:rsid w:val="00FC0C98"/>
    <w:rsid w:val="00FC4760"/>
    <w:rsid w:val="00FD6317"/>
    <w:rsid w:val="00FE1D52"/>
    <w:rsid w:val="00FE45B4"/>
    <w:rsid w:val="00FF7875"/>
    <w:rsid w:val="052906D0"/>
    <w:rsid w:val="0655BD7A"/>
    <w:rsid w:val="06EF3BF5"/>
    <w:rsid w:val="0727B2A4"/>
    <w:rsid w:val="07CDD28E"/>
    <w:rsid w:val="0DC43CA1"/>
    <w:rsid w:val="0F0E932A"/>
    <w:rsid w:val="0FF7ABC1"/>
    <w:rsid w:val="194FC44D"/>
    <w:rsid w:val="197F004B"/>
    <w:rsid w:val="1AECC065"/>
    <w:rsid w:val="1CE3DEB1"/>
    <w:rsid w:val="257F0161"/>
    <w:rsid w:val="28F9345A"/>
    <w:rsid w:val="2A3C4631"/>
    <w:rsid w:val="30FB6F68"/>
    <w:rsid w:val="37BAE3D0"/>
    <w:rsid w:val="3D8BCF7A"/>
    <w:rsid w:val="40EDD85B"/>
    <w:rsid w:val="421EAA89"/>
    <w:rsid w:val="4293B122"/>
    <w:rsid w:val="456C0B7C"/>
    <w:rsid w:val="4736CD26"/>
    <w:rsid w:val="4F0CBB1C"/>
    <w:rsid w:val="4FC573F0"/>
    <w:rsid w:val="57045886"/>
    <w:rsid w:val="571BD173"/>
    <w:rsid w:val="59547F1D"/>
    <w:rsid w:val="59E8BF7B"/>
    <w:rsid w:val="67FEE2E7"/>
    <w:rsid w:val="68B46771"/>
    <w:rsid w:val="69697F6E"/>
    <w:rsid w:val="76A9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FAD94D2-0C25-4ECE-A082-63DE81E18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95A5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95A5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95A5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95A54"/>
  </w:style>
  <w:style w:type="character" w:styleId="normaltextrun" w:customStyle="1">
    <w:name w:val="normaltextrun"/>
    <w:basedOn w:val="DefaultParagraphFont"/>
    <w:rsid w:val="007E6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087579-CE11-4AF3-AD72-9EE95FF9B5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E390A-4AFB-45E6-A021-E8761103678E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customXml/itemProps3.xml><?xml version="1.0" encoding="utf-8"?>
<ds:datastoreItem xmlns:ds="http://schemas.openxmlformats.org/officeDocument/2006/customXml" ds:itemID="{F6C196B0-33E0-4D28-B15B-F4237CCB426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Mason, Natalie</cp:lastModifiedBy>
  <cp:revision>152</cp:revision>
  <dcterms:created xsi:type="dcterms:W3CDTF">2025-06-18T23:37:00Z</dcterms:created>
  <dcterms:modified xsi:type="dcterms:W3CDTF">2025-08-09T15:27:28Z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