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95A54" w:rsidRPr="008A0B27" w14:paraId="1620C76D" w14:textId="77777777" w:rsidTr="005179A7">
        <w:tc>
          <w:tcPr>
            <w:tcW w:w="13948" w:type="dxa"/>
            <w:gridSpan w:val="2"/>
            <w:shd w:val="clear" w:color="auto" w:fill="D9F2D0" w:themeFill="accent6" w:themeFillTint="33"/>
          </w:tcPr>
          <w:p w14:paraId="7F4BB30C" w14:textId="33F7482E" w:rsidR="00195A54" w:rsidRPr="008A0B27" w:rsidRDefault="00DD1F7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Sherlock Holmes: short stories</w:t>
            </w:r>
          </w:p>
        </w:tc>
      </w:tr>
      <w:tr w:rsidR="00195A54" w:rsidRPr="008A0B27" w14:paraId="61C58675" w14:textId="77777777" w:rsidTr="0F0E932A">
        <w:tc>
          <w:tcPr>
            <w:tcW w:w="13948" w:type="dxa"/>
            <w:gridSpan w:val="2"/>
          </w:tcPr>
          <w:p w14:paraId="139F6905" w14:textId="30C56529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14:paraId="5135EAE6" w14:textId="0BAB5F59" w:rsidR="00FA264C" w:rsidRDefault="00C94B2E" w:rsidP="00FA264C">
            <w:pPr>
              <w:rPr>
                <w:rFonts w:ascii="Calibri" w:hAnsi="Calibri" w:cs="Calibri"/>
              </w:rPr>
            </w:pPr>
            <w:r w:rsidRPr="00FA264C">
              <w:rPr>
                <w:rFonts w:ascii="Calibri" w:hAnsi="Calibri" w:cs="Calibri"/>
              </w:rPr>
              <w:t xml:space="preserve">Learners </w:t>
            </w:r>
            <w:r w:rsidR="00FA264C">
              <w:rPr>
                <w:rFonts w:ascii="Calibri" w:hAnsi="Calibri" w:cs="Calibri"/>
              </w:rPr>
              <w:t>will</w:t>
            </w:r>
            <w:r w:rsidR="00BA3DE1">
              <w:rPr>
                <w:rFonts w:ascii="Calibri" w:hAnsi="Calibri" w:cs="Calibri"/>
              </w:rPr>
              <w:t>:</w:t>
            </w:r>
          </w:p>
          <w:p w14:paraId="00CAD77A" w14:textId="71F84036" w:rsidR="009A21CE" w:rsidRDefault="00F57756" w:rsidP="0021500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Make predictions about the char</w:t>
            </w:r>
            <w:r w:rsidR="00961C0C">
              <w:rPr>
                <w:rFonts w:ascii="Calibri" w:hAnsi="Calibri" w:cs="Calibri"/>
              </w:rPr>
              <w:t>acter of</w:t>
            </w:r>
            <w:r>
              <w:rPr>
                <w:rFonts w:ascii="Calibri" w:hAnsi="Calibri" w:cs="Calibri"/>
              </w:rPr>
              <w:t xml:space="preserve"> Sherlock Holmes using evidence from the text. </w:t>
            </w:r>
          </w:p>
          <w:p w14:paraId="5E25FA18" w14:textId="7217FAE0" w:rsidR="00F57756" w:rsidRDefault="00DC7CA4" w:rsidP="0021500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Explain how Conan Doyle uses </w:t>
            </w:r>
            <w:r w:rsidR="0085723C">
              <w:rPr>
                <w:rFonts w:ascii="Calibri" w:hAnsi="Calibri" w:cs="Calibri"/>
              </w:rPr>
              <w:t xml:space="preserve">techniques such as pathetic falllacy to present atmosphere and character in ‘The </w:t>
            </w:r>
            <w:r w:rsidR="00266AEE">
              <w:rPr>
                <w:rFonts w:ascii="Calibri" w:hAnsi="Calibri" w:cs="Calibri"/>
              </w:rPr>
              <w:t xml:space="preserve">Adventure of the </w:t>
            </w:r>
            <w:r w:rsidR="0085723C">
              <w:rPr>
                <w:rFonts w:ascii="Calibri" w:hAnsi="Calibri" w:cs="Calibri"/>
              </w:rPr>
              <w:t xml:space="preserve">Speckled Band’. </w:t>
            </w:r>
          </w:p>
          <w:p w14:paraId="4E800D57" w14:textId="77777777" w:rsidR="0085723C" w:rsidRDefault="00266AEE" w:rsidP="0021500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Use evidence to </w:t>
            </w:r>
            <w:r w:rsidR="00D72CE3">
              <w:rPr>
                <w:rFonts w:ascii="Calibri" w:hAnsi="Calibri" w:cs="Calibri"/>
              </w:rPr>
              <w:t xml:space="preserve">suggest a plausible explanation for Julia Stoner’s death in ‘The Adventure of the Speckled Band’. </w:t>
            </w:r>
          </w:p>
          <w:p w14:paraId="67C89280" w14:textId="0F59D2AB" w:rsidR="00D72CE3" w:rsidRDefault="00BB2D4E" w:rsidP="0021500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Create engaging headings and subheadings</w:t>
            </w:r>
            <w:r w:rsidR="004A7B9A">
              <w:rPr>
                <w:rFonts w:ascii="Calibri" w:hAnsi="Calibri" w:cs="Calibri"/>
              </w:rPr>
              <w:t xml:space="preserve"> using language devices such as alliteration and puns.</w:t>
            </w:r>
          </w:p>
          <w:p w14:paraId="51AFD685" w14:textId="2F4BFE89" w:rsidR="0093425E" w:rsidRPr="0093425E" w:rsidRDefault="0081200E" w:rsidP="0093425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Write an effective opening for a newspaper article about Julia Stoner’s death. </w:t>
            </w:r>
          </w:p>
        </w:tc>
      </w:tr>
      <w:tr w:rsidR="00C305AB" w:rsidRPr="008A0B27" w14:paraId="728D6443" w14:textId="77777777" w:rsidTr="0F0E932A">
        <w:tc>
          <w:tcPr>
            <w:tcW w:w="13948" w:type="dxa"/>
            <w:gridSpan w:val="2"/>
          </w:tcPr>
          <w:p w14:paraId="4498F310" w14:textId="77777777" w:rsidR="00A811BE" w:rsidRPr="008A0B27" w:rsidRDefault="00A811BE" w:rsidP="00A811BE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14:paraId="1ADB90B0" w14:textId="49361516" w:rsidR="00AE466E" w:rsidRPr="0093425E" w:rsidRDefault="00424F49" w:rsidP="005925D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3425E">
              <w:rPr>
                <w:rFonts w:ascii="Calibri" w:hAnsi="Calibri" w:cs="Calibri"/>
              </w:rPr>
              <w:t xml:space="preserve">Mutual respect in debate / discussions – Learners will develop the ability to listen and show respect to others and for the opinions of others. </w:t>
            </w:r>
          </w:p>
          <w:p w14:paraId="114E3246" w14:textId="06B941B9" w:rsidR="0093425E" w:rsidRPr="0093425E" w:rsidRDefault="0093425E" w:rsidP="0093425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3425E">
              <w:rPr>
                <w:rFonts w:ascii="Calibri" w:hAnsi="Calibri" w:cs="Calibri"/>
              </w:rPr>
              <w:t xml:space="preserve">Emotional </w:t>
            </w:r>
            <w:r w:rsidR="00CD01EA">
              <w:rPr>
                <w:rFonts w:ascii="Calibri" w:hAnsi="Calibri" w:cs="Calibri"/>
              </w:rPr>
              <w:t>r</w:t>
            </w:r>
            <w:r w:rsidRPr="0093425E">
              <w:rPr>
                <w:rFonts w:ascii="Calibri" w:hAnsi="Calibri" w:cs="Calibri"/>
              </w:rPr>
              <w:t xml:space="preserve">egulation </w:t>
            </w:r>
            <w:r w:rsidR="00CD01EA">
              <w:rPr>
                <w:rFonts w:ascii="Calibri" w:hAnsi="Calibri" w:cs="Calibri"/>
              </w:rPr>
              <w:t>and s</w:t>
            </w:r>
            <w:r w:rsidRPr="0093425E">
              <w:rPr>
                <w:rFonts w:ascii="Calibri" w:hAnsi="Calibri" w:cs="Calibri"/>
              </w:rPr>
              <w:t>elf-</w:t>
            </w:r>
            <w:r w:rsidR="00CD01EA">
              <w:rPr>
                <w:rFonts w:ascii="Calibri" w:hAnsi="Calibri" w:cs="Calibri"/>
              </w:rPr>
              <w:t>a</w:t>
            </w:r>
            <w:r w:rsidRPr="0093425E">
              <w:rPr>
                <w:rFonts w:ascii="Calibri" w:hAnsi="Calibri" w:cs="Calibri"/>
              </w:rPr>
              <w:t>wareness</w:t>
            </w:r>
            <w:r w:rsidRPr="0093425E">
              <w:rPr>
                <w:rFonts w:ascii="Calibri" w:hAnsi="Calibri" w:cs="Calibri"/>
              </w:rPr>
              <w:t xml:space="preserve"> through e</w:t>
            </w:r>
            <w:r w:rsidRPr="0093425E">
              <w:rPr>
                <w:rFonts w:ascii="Calibri" w:hAnsi="Calibri" w:cs="Calibri"/>
              </w:rPr>
              <w:t>xploring character emotions</w:t>
            </w:r>
            <w:r w:rsidRPr="0093425E">
              <w:rPr>
                <w:rFonts w:ascii="Calibri" w:hAnsi="Calibri" w:cs="Calibri"/>
              </w:rPr>
              <w:t>.</w:t>
            </w:r>
            <w:r w:rsidRPr="0093425E">
              <w:rPr>
                <w:rFonts w:ascii="Calibri" w:hAnsi="Calibri" w:cs="Calibri"/>
              </w:rPr>
              <w:t xml:space="preserve"> Learners can identify and discuss how characters like Helen Stoner express fear, grief, or suspicion, helping them recognize and name emotions in themselves.</w:t>
            </w:r>
          </w:p>
          <w:p w14:paraId="01F47480" w14:textId="3EFEDC81" w:rsidR="0093425E" w:rsidRPr="0093425E" w:rsidRDefault="0093425E" w:rsidP="0093425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3425E">
              <w:rPr>
                <w:rFonts w:ascii="Calibri" w:hAnsi="Calibri" w:cs="Calibri"/>
              </w:rPr>
              <w:t>Self-reflection</w:t>
            </w:r>
            <w:r w:rsidRPr="0093425E">
              <w:rPr>
                <w:rFonts w:ascii="Calibri" w:hAnsi="Calibri" w:cs="Calibri"/>
              </w:rPr>
              <w:t xml:space="preserve">: After reading key </w:t>
            </w:r>
            <w:r w:rsidR="00CD01EA">
              <w:rPr>
                <w:rFonts w:ascii="Calibri" w:hAnsi="Calibri" w:cs="Calibri"/>
              </w:rPr>
              <w:t>parts of the story</w:t>
            </w:r>
            <w:r w:rsidRPr="0093425E">
              <w:rPr>
                <w:rFonts w:ascii="Calibri" w:hAnsi="Calibri" w:cs="Calibri"/>
              </w:rPr>
              <w:t>, learners can write</w:t>
            </w:r>
            <w:r w:rsidRPr="0093425E">
              <w:rPr>
                <w:rFonts w:ascii="Calibri" w:hAnsi="Calibri" w:cs="Calibri"/>
              </w:rPr>
              <w:t xml:space="preserve"> / verbalise</w:t>
            </w:r>
            <w:r w:rsidRPr="0093425E">
              <w:rPr>
                <w:rFonts w:ascii="Calibri" w:hAnsi="Calibri" w:cs="Calibri"/>
              </w:rPr>
              <w:t xml:space="preserve"> short reflections on how they would feel in similar situations, building emotional literacy.</w:t>
            </w:r>
          </w:p>
          <w:p w14:paraId="1A2615B7" w14:textId="77777777" w:rsidR="0093425E" w:rsidRPr="0093425E" w:rsidRDefault="0093425E" w:rsidP="0093425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3425E">
              <w:rPr>
                <w:rFonts w:ascii="Calibri" w:hAnsi="Calibri" w:cs="Calibri"/>
              </w:rPr>
              <w:t>Structured debates: Use the mystery of Julia Stoner’s death to encourage respectful disagreement and turn-taking in discussions.</w:t>
            </w:r>
          </w:p>
          <w:p w14:paraId="4FB875D6" w14:textId="7BFA422D" w:rsidR="0093425E" w:rsidRPr="0093425E" w:rsidRDefault="0093425E" w:rsidP="0093425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3425E">
              <w:rPr>
                <w:rFonts w:ascii="Calibri" w:hAnsi="Calibri" w:cs="Calibri"/>
              </w:rPr>
              <w:t>Role-play interviews: Learners can act as journalists interviewing characters, practi</w:t>
            </w:r>
            <w:r w:rsidR="00CD01EA">
              <w:rPr>
                <w:rFonts w:ascii="Calibri" w:hAnsi="Calibri" w:cs="Calibri"/>
              </w:rPr>
              <w:t>s</w:t>
            </w:r>
            <w:r w:rsidRPr="0093425E">
              <w:rPr>
                <w:rFonts w:ascii="Calibri" w:hAnsi="Calibri" w:cs="Calibri"/>
              </w:rPr>
              <w:t>ing active listening and empathy.</w:t>
            </w:r>
          </w:p>
        </w:tc>
      </w:tr>
      <w:tr w:rsidR="00195A54" w:rsidRPr="008A0B27" w14:paraId="4E7257A0" w14:textId="77777777" w:rsidTr="005179A7">
        <w:tc>
          <w:tcPr>
            <w:tcW w:w="6974" w:type="dxa"/>
            <w:shd w:val="clear" w:color="auto" w:fill="D9F2D0" w:themeFill="accent6" w:themeFillTint="33"/>
          </w:tcPr>
          <w:p w14:paraId="71C414B0" w14:textId="357DA0E9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D9F2D0" w:themeFill="accent6" w:themeFillTint="33"/>
          </w:tcPr>
          <w:p w14:paraId="0A5A8A25" w14:textId="4876B950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="00195A54" w:rsidRPr="008A0B27" w14:paraId="06DADF0D" w14:textId="77777777" w:rsidTr="0F0E932A">
        <w:tc>
          <w:tcPr>
            <w:tcW w:w="6974" w:type="dxa"/>
          </w:tcPr>
          <w:p w14:paraId="42601E9B" w14:textId="77777777" w:rsidR="00662D4D" w:rsidRDefault="00906365" w:rsidP="008D6EE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06365">
              <w:rPr>
                <w:rFonts w:ascii="Calibri" w:hAnsi="Calibri" w:cs="Calibri"/>
              </w:rPr>
              <w:t>I can make predictions about the character of Sherlock Holmes using clues.</w:t>
            </w:r>
          </w:p>
          <w:p w14:paraId="4B3750A2" w14:textId="2AD13CD4" w:rsidR="00906365" w:rsidRDefault="005139BE" w:rsidP="008D6EE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139BE">
              <w:rPr>
                <w:rFonts w:ascii="Calibri" w:hAnsi="Calibri" w:cs="Calibri"/>
              </w:rPr>
              <w:t xml:space="preserve">I can analyse how Conan Doyle presents character and atmosphere on the night of Julia’s death in ‘The </w:t>
            </w:r>
            <w:r w:rsidR="00CA2567">
              <w:rPr>
                <w:rFonts w:ascii="Calibri" w:hAnsi="Calibri" w:cs="Calibri"/>
              </w:rPr>
              <w:t xml:space="preserve">Adventure of the </w:t>
            </w:r>
            <w:r w:rsidRPr="005139BE">
              <w:rPr>
                <w:rFonts w:ascii="Calibri" w:hAnsi="Calibri" w:cs="Calibri"/>
              </w:rPr>
              <w:t>Speckled Band’.</w:t>
            </w:r>
          </w:p>
          <w:p w14:paraId="05A5286F" w14:textId="77777777" w:rsidR="00FE7998" w:rsidRDefault="00266AEE" w:rsidP="008D6EE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66AEE">
              <w:rPr>
                <w:rFonts w:ascii="Calibri" w:hAnsi="Calibri" w:cs="Calibri"/>
              </w:rPr>
              <w:t>I can make a plausible explanation for Julia Stoner's death based on relevant evidence from 'The Adventure of the Speckled Band'.</w:t>
            </w:r>
          </w:p>
          <w:p w14:paraId="2663027F" w14:textId="764721B4" w:rsidR="00BB2D4E" w:rsidRDefault="00BB2D4E" w:rsidP="008D6EE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B2D4E">
              <w:rPr>
                <w:rFonts w:ascii="Calibri" w:hAnsi="Calibri" w:cs="Calibri"/>
              </w:rPr>
              <w:t>I can create engaging headlines and subheadings.</w:t>
            </w:r>
          </w:p>
          <w:p w14:paraId="13987915" w14:textId="69ED3CA3" w:rsidR="00F0093F" w:rsidRPr="008D6EED" w:rsidRDefault="0018365F" w:rsidP="008D6EE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8365F">
              <w:rPr>
                <w:rFonts w:ascii="Calibri" w:hAnsi="Calibri" w:cs="Calibri"/>
              </w:rPr>
              <w:t>I can create an effective opening for a newspaper article about Julia Stoner’s death.</w:t>
            </w:r>
          </w:p>
        </w:tc>
        <w:tc>
          <w:tcPr>
            <w:tcW w:w="6974" w:type="dxa"/>
          </w:tcPr>
          <w:p w14:paraId="5B69D9F1" w14:textId="1AE09D99" w:rsidR="00195A54" w:rsidRPr="008A0B27" w:rsidRDefault="00961C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Learners will understand how </w:t>
            </w:r>
            <w:r w:rsidR="00F0093F"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>justify the</w:t>
            </w:r>
            <w:r w:rsidR="00F0093F">
              <w:rPr>
                <w:rFonts w:ascii="Calibri" w:hAnsi="Calibri" w:cs="Calibri"/>
              </w:rPr>
              <w:t>ir predictions and explanations</w:t>
            </w:r>
            <w:r>
              <w:rPr>
                <w:rFonts w:ascii="Calibri" w:hAnsi="Calibri" w:cs="Calibri"/>
              </w:rPr>
              <w:t xml:space="preserve"> with evidence. </w:t>
            </w:r>
            <w:r w:rsidR="0085723C">
              <w:rPr>
                <w:rFonts w:ascii="Calibri" w:hAnsi="Calibri" w:cs="Calibri"/>
              </w:rPr>
              <w:t>They will u</w:t>
            </w:r>
            <w:r w:rsidR="00FE7998">
              <w:rPr>
                <w:rFonts w:ascii="Calibri" w:hAnsi="Calibri" w:cs="Calibri"/>
              </w:rPr>
              <w:t>nderstand how techniques such as pathetic fallacy can be used to convey atmosphere and c</w:t>
            </w:r>
            <w:r w:rsidR="00F0093F">
              <w:rPr>
                <w:rFonts w:ascii="Calibri" w:hAnsi="Calibri" w:cs="Calibri"/>
              </w:rPr>
              <w:t xml:space="preserve">haracter. </w:t>
            </w:r>
            <w:r w:rsidR="0018365F">
              <w:rPr>
                <w:rFonts w:ascii="Calibri" w:hAnsi="Calibri" w:cs="Calibri"/>
              </w:rPr>
              <w:t xml:space="preserve">Learners will understand what makes an effective newspaper headline, subheading and opening. </w:t>
            </w:r>
          </w:p>
        </w:tc>
      </w:tr>
      <w:tr w:rsidR="00195A54" w:rsidRPr="008A0B27" w14:paraId="11B5495E" w14:textId="77777777" w:rsidTr="005179A7">
        <w:tc>
          <w:tcPr>
            <w:tcW w:w="6974" w:type="dxa"/>
            <w:shd w:val="clear" w:color="auto" w:fill="D9F2D0" w:themeFill="accent6" w:themeFillTint="33"/>
          </w:tcPr>
          <w:p w14:paraId="7F9FC9CC" w14:textId="21929E12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lastRenderedPageBreak/>
              <w:t xml:space="preserve">Subject-Specific Vocabulary </w:t>
            </w:r>
          </w:p>
        </w:tc>
        <w:tc>
          <w:tcPr>
            <w:tcW w:w="6974" w:type="dxa"/>
            <w:shd w:val="clear" w:color="auto" w:fill="D9F2D0" w:themeFill="accent6" w:themeFillTint="33"/>
          </w:tcPr>
          <w:p w14:paraId="300D8508" w14:textId="708DA0A1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="00195A54" w:rsidRPr="008A0B27" w14:paraId="49B65D1F" w14:textId="77777777" w:rsidTr="0F0E932A">
        <w:tc>
          <w:tcPr>
            <w:tcW w:w="6974" w:type="dxa"/>
          </w:tcPr>
          <w:p w14:paraId="0D5851DF" w14:textId="77777777" w:rsidR="007933D4" w:rsidRDefault="002220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Protagonist</w:t>
            </w:r>
          </w:p>
          <w:p w14:paraId="67B993BB" w14:textId="77777777" w:rsidR="0022206A" w:rsidRDefault="002220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Conjunctions</w:t>
            </w:r>
          </w:p>
          <w:p w14:paraId="27FCA4F5" w14:textId="77777777" w:rsidR="0022206A" w:rsidRDefault="004B21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Predict</w:t>
            </w:r>
          </w:p>
          <w:p w14:paraId="71A3EF4B" w14:textId="77777777" w:rsidR="004B2134" w:rsidRDefault="004B21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Era</w:t>
            </w:r>
          </w:p>
          <w:p w14:paraId="7E44FC30" w14:textId="77777777" w:rsidR="004B2134" w:rsidRDefault="005139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Character</w:t>
            </w:r>
          </w:p>
          <w:p w14:paraId="11165D3D" w14:textId="77777777" w:rsidR="005139BE" w:rsidRDefault="005139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Atmosphere</w:t>
            </w:r>
          </w:p>
          <w:p w14:paraId="302E3EDC" w14:textId="77777777" w:rsidR="005139BE" w:rsidRDefault="000F48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Pathetic fallacy</w:t>
            </w:r>
          </w:p>
          <w:p w14:paraId="500D0E27" w14:textId="77777777" w:rsidR="000F482F" w:rsidRDefault="000F48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Foreshadowing</w:t>
            </w:r>
          </w:p>
          <w:p w14:paraId="60F03239" w14:textId="6739B17C" w:rsidR="00812861" w:rsidRDefault="008128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Plausible</w:t>
            </w:r>
          </w:p>
          <w:p w14:paraId="5844C751" w14:textId="5C218545" w:rsidR="00812861" w:rsidRDefault="008128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Motive</w:t>
            </w:r>
          </w:p>
          <w:p w14:paraId="468A7674" w14:textId="77777777" w:rsidR="000F482F" w:rsidRDefault="004A7B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Alliteration</w:t>
            </w:r>
          </w:p>
          <w:p w14:paraId="2B3AFAC5" w14:textId="77777777" w:rsidR="004A7B9A" w:rsidRDefault="004A7B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</w:t>
            </w:r>
          </w:p>
          <w:p w14:paraId="5630278B" w14:textId="08E6A7B5" w:rsidR="004A7B9A" w:rsidRDefault="004A7B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</w:t>
            </w:r>
            <w:r w:rsidR="00CA2567">
              <w:rPr>
                <w:rFonts w:ascii="Calibri" w:hAnsi="Calibri" w:cs="Calibri"/>
              </w:rPr>
              <w:t>line</w:t>
            </w:r>
          </w:p>
          <w:p w14:paraId="12ADDFA5" w14:textId="77777777" w:rsidR="004A7B9A" w:rsidRDefault="004A7B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Subheading</w:t>
            </w:r>
          </w:p>
          <w:p w14:paraId="30C621E9" w14:textId="77777777" w:rsidR="004A7B9A" w:rsidRDefault="00CA25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Layout</w:t>
            </w:r>
          </w:p>
          <w:p w14:paraId="19787422" w14:textId="77777777" w:rsidR="00CA2567" w:rsidRDefault="004E3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Opening</w:t>
            </w:r>
          </w:p>
          <w:p w14:paraId="4B4F9BAA" w14:textId="77777777" w:rsidR="004E30B3" w:rsidRDefault="004E3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Interview</w:t>
            </w:r>
          </w:p>
          <w:p w14:paraId="1E0D00A8" w14:textId="14491FC6" w:rsidR="004E30B3" w:rsidRPr="008A0B27" w:rsidRDefault="004E3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Speculation</w:t>
            </w:r>
          </w:p>
        </w:tc>
        <w:tc>
          <w:tcPr>
            <w:tcW w:w="6974" w:type="dxa"/>
          </w:tcPr>
          <w:p w14:paraId="038A5DA4" w14:textId="7D37AD94" w:rsidR="008A0B27" w:rsidRDefault="00266A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</w:t>
            </w:r>
            <w:r w:rsidR="000F482F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 xml:space="preserve">Adventure of the </w:t>
            </w:r>
            <w:r w:rsidR="000F482F">
              <w:rPr>
                <w:rFonts w:ascii="Calibri" w:hAnsi="Calibri" w:cs="Calibri"/>
              </w:rPr>
              <w:t xml:space="preserve">Speckled Band’ by </w:t>
            </w:r>
            <w:r w:rsidR="00450377">
              <w:rPr>
                <w:rFonts w:ascii="Calibri" w:hAnsi="Calibri" w:cs="Calibri"/>
              </w:rPr>
              <w:t>Conan Doyle</w:t>
            </w:r>
            <w:r w:rsidR="00CA2567">
              <w:rPr>
                <w:rFonts w:ascii="Calibri" w:hAnsi="Calibri" w:cs="Calibri"/>
              </w:rPr>
              <w:t xml:space="preserve"> (on Teams). </w:t>
            </w:r>
          </w:p>
          <w:p w14:paraId="73DEE9A5" w14:textId="2AEA4E67" w:rsidR="00450377" w:rsidRPr="008A0B27" w:rsidRDefault="00450377">
            <w:pPr>
              <w:rPr>
                <w:rFonts w:ascii="Calibri" w:hAnsi="Calibri" w:cs="Calibri"/>
              </w:rPr>
            </w:pPr>
          </w:p>
        </w:tc>
      </w:tr>
      <w:tr w:rsidR="00195A54" w:rsidRPr="008A0B27" w14:paraId="52FDDB70" w14:textId="77777777" w:rsidTr="005179A7">
        <w:tc>
          <w:tcPr>
            <w:tcW w:w="6974" w:type="dxa"/>
            <w:shd w:val="clear" w:color="auto" w:fill="D9F2D0" w:themeFill="accent6" w:themeFillTint="33"/>
          </w:tcPr>
          <w:p w14:paraId="0F848A00" w14:textId="13D105B8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D9F2D0" w:themeFill="accent6" w:themeFillTint="33"/>
          </w:tcPr>
          <w:p w14:paraId="30C004E6" w14:textId="77777777" w:rsidR="00195A54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14:paraId="6AAEE7C2" w14:textId="3C0F61C4" w:rsidR="00DC0619" w:rsidRPr="008A0B27" w:rsidRDefault="00DC061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95A54" w:rsidRPr="008A0B27" w14:paraId="542ABD73" w14:textId="77777777" w:rsidTr="0F0E932A">
        <w:tc>
          <w:tcPr>
            <w:tcW w:w="6974" w:type="dxa"/>
          </w:tcPr>
          <w:p w14:paraId="31F6B540" w14:textId="77777777" w:rsidR="00195A54" w:rsidRPr="004E30B3" w:rsidRDefault="004B2134" w:rsidP="004B2134">
            <w:pPr>
              <w:rPr>
                <w:rFonts w:ascii="Calibri" w:hAnsi="Calibri" w:cs="Calibri"/>
              </w:rPr>
            </w:pPr>
            <w:r w:rsidRPr="004E30B3">
              <w:rPr>
                <w:rFonts w:ascii="Calibri" w:hAnsi="Calibri" w:cs="Calibri"/>
              </w:rPr>
              <w:t>-</w:t>
            </w:r>
            <w:r w:rsidRPr="004E30B3">
              <w:t>I</w:t>
            </w:r>
            <w:r w:rsidRPr="004B2134">
              <w:rPr>
                <w:rFonts w:ascii="Calibri" w:hAnsi="Calibri" w:cs="Calibri"/>
              </w:rPr>
              <w:t>t is better to know everything about a character or text before reading.</w:t>
            </w:r>
          </w:p>
          <w:p w14:paraId="0E326FDD" w14:textId="55CE8904" w:rsidR="00FE7998" w:rsidRPr="004E30B3" w:rsidRDefault="00FB0683" w:rsidP="004B2134">
            <w:pPr>
              <w:rPr>
                <w:rFonts w:ascii="Calibri" w:hAnsi="Calibri" w:cs="Calibri"/>
              </w:rPr>
            </w:pPr>
            <w:r w:rsidRPr="004E30B3">
              <w:rPr>
                <w:rFonts w:ascii="Calibri" w:hAnsi="Calibri" w:cs="Calibri"/>
              </w:rPr>
              <w:t>- Planning can often be seen as a waste of time.</w:t>
            </w:r>
          </w:p>
          <w:p w14:paraId="35696581" w14:textId="0AB4CBD9" w:rsidR="00812861" w:rsidRPr="004E30B3" w:rsidRDefault="00812861" w:rsidP="004B2134">
            <w:pPr>
              <w:rPr>
                <w:rFonts w:ascii="Calibri" w:hAnsi="Calibri" w:cs="Calibri"/>
              </w:rPr>
            </w:pPr>
            <w:r w:rsidRPr="004E30B3">
              <w:rPr>
                <w:rFonts w:ascii="Calibri" w:hAnsi="Calibri" w:cs="Calibri"/>
              </w:rPr>
              <w:t>- Each piece of evidence can be looked at in isolation when thinking about Julia’s death.</w:t>
            </w:r>
          </w:p>
          <w:p w14:paraId="43483833" w14:textId="77777777" w:rsidR="004B2134" w:rsidRPr="004E30B3" w:rsidRDefault="00CA2567" w:rsidP="004B2134">
            <w:pPr>
              <w:rPr>
                <w:rFonts w:ascii="Calibri" w:hAnsi="Calibri" w:cs="Calibri"/>
              </w:rPr>
            </w:pPr>
            <w:r w:rsidRPr="004E30B3">
              <w:rPr>
                <w:rFonts w:ascii="Calibri" w:hAnsi="Calibri" w:cs="Calibri"/>
              </w:rPr>
              <w:t xml:space="preserve">- </w:t>
            </w:r>
            <w:proofErr w:type="gramStart"/>
            <w:r w:rsidRPr="004E30B3">
              <w:rPr>
                <w:rFonts w:ascii="Calibri" w:hAnsi="Calibri" w:cs="Calibri"/>
              </w:rPr>
              <w:t>As long as</w:t>
            </w:r>
            <w:proofErr w:type="gramEnd"/>
            <w:r w:rsidRPr="004E30B3">
              <w:rPr>
                <w:rFonts w:ascii="Calibri" w:hAnsi="Calibri" w:cs="Calibri"/>
              </w:rPr>
              <w:t xml:space="preserve"> I keep my headline and subheading short, they will be effective.</w:t>
            </w:r>
          </w:p>
          <w:p w14:paraId="299CC210" w14:textId="5A05539B" w:rsidR="00CA2567" w:rsidRPr="004B2134" w:rsidRDefault="004E30B3" w:rsidP="004B2134">
            <w:pPr>
              <w:rPr>
                <w:rFonts w:ascii="Calibri" w:hAnsi="Calibri" w:cs="Calibri"/>
                <w:b/>
                <w:bCs/>
              </w:rPr>
            </w:pPr>
            <w:r w:rsidRPr="004E30B3">
              <w:rPr>
                <w:rFonts w:ascii="Calibri" w:hAnsi="Calibri" w:cs="Calibri"/>
              </w:rPr>
              <w:t>- Details of a crime can be reported in any part of an article.</w:t>
            </w:r>
          </w:p>
        </w:tc>
        <w:tc>
          <w:tcPr>
            <w:tcW w:w="6974" w:type="dxa"/>
          </w:tcPr>
          <w:p w14:paraId="00CD5BBF" w14:textId="77777777" w:rsidR="008A0B27" w:rsidRDefault="003739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History – Victorian era</w:t>
            </w:r>
          </w:p>
          <w:p w14:paraId="2714DD4A" w14:textId="76FC5576" w:rsidR="0093425E" w:rsidRDefault="0093425E">
            <w:pPr>
              <w:rPr>
                <w:rFonts w:ascii="Calibri" w:hAnsi="Calibri" w:cs="Calibri"/>
              </w:rPr>
            </w:pPr>
          </w:p>
          <w:p w14:paraId="7DCD9DC6" w14:textId="61219E61" w:rsidR="00373935" w:rsidRPr="008A0B27" w:rsidRDefault="00373935">
            <w:pPr>
              <w:rPr>
                <w:rFonts w:ascii="Calibri" w:hAnsi="Calibri" w:cs="Calibri"/>
              </w:rPr>
            </w:pPr>
          </w:p>
        </w:tc>
      </w:tr>
    </w:tbl>
    <w:p w14:paraId="0FB60DF5" w14:textId="77777777" w:rsidR="0018518C" w:rsidRPr="008A0B27" w:rsidRDefault="0018518C">
      <w:pPr>
        <w:rPr>
          <w:rFonts w:ascii="Calibri" w:hAnsi="Calibri" w:cs="Calibri"/>
        </w:rPr>
      </w:pPr>
    </w:p>
    <w:sectPr w:rsidR="0018518C" w:rsidRPr="008A0B27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F6B4" w14:textId="77777777" w:rsidR="00294550" w:rsidRDefault="00294550" w:rsidP="00195A54">
      <w:pPr>
        <w:spacing w:after="0" w:line="240" w:lineRule="auto"/>
      </w:pPr>
      <w:r>
        <w:separator/>
      </w:r>
    </w:p>
  </w:endnote>
  <w:endnote w:type="continuationSeparator" w:id="0">
    <w:p w14:paraId="7B5EDBB8" w14:textId="77777777" w:rsidR="00294550" w:rsidRDefault="00294550" w:rsidP="001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7B0F" w14:textId="77777777" w:rsidR="00294550" w:rsidRDefault="00294550" w:rsidP="00195A54">
      <w:pPr>
        <w:spacing w:after="0" w:line="240" w:lineRule="auto"/>
      </w:pPr>
      <w:r>
        <w:separator/>
      </w:r>
    </w:p>
  </w:footnote>
  <w:footnote w:type="continuationSeparator" w:id="0">
    <w:p w14:paraId="43DFBB16" w14:textId="77777777" w:rsidR="00294550" w:rsidRDefault="00294550" w:rsidP="0019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26E4" w14:textId="53AAE69F" w:rsidR="00195A54" w:rsidRPr="008A0B27" w:rsidRDefault="00195A54" w:rsidP="00195A54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="007A215C">
      <w:rPr>
        <w:rFonts w:ascii="Calibri" w:hAnsi="Calibri" w:cs="Calibri"/>
      </w:rPr>
      <w:t>7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Unit </w:t>
    </w:r>
    <w:r w:rsidR="00DD1F78">
      <w:rPr>
        <w:rFonts w:ascii="Calibri" w:hAnsi="Calibri" w:cs="Calibri"/>
      </w:rPr>
      <w:t>3</w:t>
    </w:r>
    <w:r w:rsidR="005925D2">
      <w:rPr>
        <w:rFonts w:ascii="Calibri" w:hAnsi="Calibri" w:cs="Calibri"/>
      </w:rPr>
      <w:t xml:space="preserve">: </w:t>
    </w:r>
    <w:r w:rsidR="00DD1F78">
      <w:rPr>
        <w:rFonts w:ascii="Calibri" w:hAnsi="Calibri" w:cs="Calibri"/>
      </w:rPr>
      <w:t>Sherlock Holmes: Short stories</w:t>
    </w:r>
  </w:p>
  <w:p w14:paraId="290826E1" w14:textId="77777777" w:rsidR="00195A54" w:rsidRDefault="0019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15C7"/>
    <w:multiLevelType w:val="multilevel"/>
    <w:tmpl w:val="30D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0DC1"/>
    <w:multiLevelType w:val="multilevel"/>
    <w:tmpl w:val="B39A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5897">
    <w:abstractNumId w:val="2"/>
  </w:num>
  <w:num w:numId="2" w16cid:durableId="295529825">
    <w:abstractNumId w:val="1"/>
  </w:num>
  <w:num w:numId="3" w16cid:durableId="1540586884">
    <w:abstractNumId w:val="3"/>
  </w:num>
  <w:num w:numId="4" w16cid:durableId="22853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93E"/>
    <w:rsid w:val="00025EB0"/>
    <w:rsid w:val="00052494"/>
    <w:rsid w:val="000663E9"/>
    <w:rsid w:val="00081B52"/>
    <w:rsid w:val="00090958"/>
    <w:rsid w:val="00090AB6"/>
    <w:rsid w:val="00096228"/>
    <w:rsid w:val="000B27BA"/>
    <w:rsid w:val="000B3D97"/>
    <w:rsid w:val="000B5BF3"/>
    <w:rsid w:val="000E6E4F"/>
    <w:rsid w:val="000E7587"/>
    <w:rsid w:val="000F15AA"/>
    <w:rsid w:val="000F167E"/>
    <w:rsid w:val="000F2CD9"/>
    <w:rsid w:val="000F482F"/>
    <w:rsid w:val="001104A3"/>
    <w:rsid w:val="00120219"/>
    <w:rsid w:val="001232BE"/>
    <w:rsid w:val="001278B9"/>
    <w:rsid w:val="0014202D"/>
    <w:rsid w:val="0015119A"/>
    <w:rsid w:val="001771E7"/>
    <w:rsid w:val="0018365F"/>
    <w:rsid w:val="0018518C"/>
    <w:rsid w:val="001902C2"/>
    <w:rsid w:val="00195A54"/>
    <w:rsid w:val="001A0920"/>
    <w:rsid w:val="001B0316"/>
    <w:rsid w:val="001E125E"/>
    <w:rsid w:val="001E2CAF"/>
    <w:rsid w:val="001F4149"/>
    <w:rsid w:val="00200A5E"/>
    <w:rsid w:val="00215001"/>
    <w:rsid w:val="0022206A"/>
    <w:rsid w:val="00224017"/>
    <w:rsid w:val="00261B1D"/>
    <w:rsid w:val="00266AEE"/>
    <w:rsid w:val="002674F0"/>
    <w:rsid w:val="00271372"/>
    <w:rsid w:val="002812EC"/>
    <w:rsid w:val="00290B33"/>
    <w:rsid w:val="00294550"/>
    <w:rsid w:val="002A441B"/>
    <w:rsid w:val="002B01FA"/>
    <w:rsid w:val="002B649B"/>
    <w:rsid w:val="002F3958"/>
    <w:rsid w:val="003036F7"/>
    <w:rsid w:val="00304ABF"/>
    <w:rsid w:val="00373935"/>
    <w:rsid w:val="00394B72"/>
    <w:rsid w:val="003A6722"/>
    <w:rsid w:val="003B0957"/>
    <w:rsid w:val="003C6DC2"/>
    <w:rsid w:val="0041192D"/>
    <w:rsid w:val="00424F49"/>
    <w:rsid w:val="0043384C"/>
    <w:rsid w:val="00434841"/>
    <w:rsid w:val="00437B59"/>
    <w:rsid w:val="0044344E"/>
    <w:rsid w:val="00450377"/>
    <w:rsid w:val="00455EF7"/>
    <w:rsid w:val="00466BC5"/>
    <w:rsid w:val="004914E1"/>
    <w:rsid w:val="00494F67"/>
    <w:rsid w:val="004A7B9A"/>
    <w:rsid w:val="004B14C2"/>
    <w:rsid w:val="004B2134"/>
    <w:rsid w:val="004E21CE"/>
    <w:rsid w:val="004E30B3"/>
    <w:rsid w:val="004F336B"/>
    <w:rsid w:val="005139BE"/>
    <w:rsid w:val="005179A7"/>
    <w:rsid w:val="00546298"/>
    <w:rsid w:val="00546A6E"/>
    <w:rsid w:val="005545B5"/>
    <w:rsid w:val="00570A2D"/>
    <w:rsid w:val="005754BB"/>
    <w:rsid w:val="005844C9"/>
    <w:rsid w:val="00586725"/>
    <w:rsid w:val="005925D2"/>
    <w:rsid w:val="005965A6"/>
    <w:rsid w:val="005B77AD"/>
    <w:rsid w:val="005F02F1"/>
    <w:rsid w:val="005F60F0"/>
    <w:rsid w:val="005F7F6C"/>
    <w:rsid w:val="00600EF9"/>
    <w:rsid w:val="006014F9"/>
    <w:rsid w:val="00603AD0"/>
    <w:rsid w:val="00603C60"/>
    <w:rsid w:val="006176D1"/>
    <w:rsid w:val="00620CB9"/>
    <w:rsid w:val="00631639"/>
    <w:rsid w:val="00662D4D"/>
    <w:rsid w:val="00670840"/>
    <w:rsid w:val="006B0CD6"/>
    <w:rsid w:val="006F62DF"/>
    <w:rsid w:val="007036BA"/>
    <w:rsid w:val="00722634"/>
    <w:rsid w:val="00767DD1"/>
    <w:rsid w:val="00790EE5"/>
    <w:rsid w:val="007933D4"/>
    <w:rsid w:val="007A215C"/>
    <w:rsid w:val="007C3028"/>
    <w:rsid w:val="007E5748"/>
    <w:rsid w:val="007E61FC"/>
    <w:rsid w:val="007E6477"/>
    <w:rsid w:val="007F09AB"/>
    <w:rsid w:val="00811D73"/>
    <w:rsid w:val="0081200E"/>
    <w:rsid w:val="00812861"/>
    <w:rsid w:val="00826D3F"/>
    <w:rsid w:val="00827DC7"/>
    <w:rsid w:val="00831E6B"/>
    <w:rsid w:val="0085723C"/>
    <w:rsid w:val="00874255"/>
    <w:rsid w:val="00882A95"/>
    <w:rsid w:val="00883D3B"/>
    <w:rsid w:val="0088661D"/>
    <w:rsid w:val="008A0B27"/>
    <w:rsid w:val="008A190B"/>
    <w:rsid w:val="008C40F9"/>
    <w:rsid w:val="008D45BB"/>
    <w:rsid w:val="008D66CC"/>
    <w:rsid w:val="008D6EED"/>
    <w:rsid w:val="00905EEB"/>
    <w:rsid w:val="00906365"/>
    <w:rsid w:val="0093425E"/>
    <w:rsid w:val="009405AC"/>
    <w:rsid w:val="00953089"/>
    <w:rsid w:val="00961C0C"/>
    <w:rsid w:val="00986DA9"/>
    <w:rsid w:val="00992AE8"/>
    <w:rsid w:val="009A21CE"/>
    <w:rsid w:val="009A6559"/>
    <w:rsid w:val="009B563F"/>
    <w:rsid w:val="009C0F9F"/>
    <w:rsid w:val="009E4ACB"/>
    <w:rsid w:val="00A43942"/>
    <w:rsid w:val="00A50E25"/>
    <w:rsid w:val="00A549E5"/>
    <w:rsid w:val="00A55F57"/>
    <w:rsid w:val="00A811BE"/>
    <w:rsid w:val="00A87D9A"/>
    <w:rsid w:val="00AD6CCB"/>
    <w:rsid w:val="00AD6CF3"/>
    <w:rsid w:val="00AE1AA8"/>
    <w:rsid w:val="00AE466E"/>
    <w:rsid w:val="00AE754F"/>
    <w:rsid w:val="00B00E2B"/>
    <w:rsid w:val="00B40FE9"/>
    <w:rsid w:val="00B6402B"/>
    <w:rsid w:val="00B91B9C"/>
    <w:rsid w:val="00BA18DA"/>
    <w:rsid w:val="00BA2D41"/>
    <w:rsid w:val="00BA3DE1"/>
    <w:rsid w:val="00BB21E9"/>
    <w:rsid w:val="00BB2D4E"/>
    <w:rsid w:val="00BB6A8F"/>
    <w:rsid w:val="00BC559E"/>
    <w:rsid w:val="00BC5CC3"/>
    <w:rsid w:val="00BD4C2F"/>
    <w:rsid w:val="00BE1BE2"/>
    <w:rsid w:val="00C25BBD"/>
    <w:rsid w:val="00C27756"/>
    <w:rsid w:val="00C305AB"/>
    <w:rsid w:val="00C37469"/>
    <w:rsid w:val="00C50F02"/>
    <w:rsid w:val="00C631DA"/>
    <w:rsid w:val="00C87E9C"/>
    <w:rsid w:val="00C903E7"/>
    <w:rsid w:val="00C94B2E"/>
    <w:rsid w:val="00CA2567"/>
    <w:rsid w:val="00CA4BC9"/>
    <w:rsid w:val="00CB0C01"/>
    <w:rsid w:val="00CC2038"/>
    <w:rsid w:val="00CC5734"/>
    <w:rsid w:val="00CD01EA"/>
    <w:rsid w:val="00CD62E3"/>
    <w:rsid w:val="00CE7F62"/>
    <w:rsid w:val="00D132FD"/>
    <w:rsid w:val="00D37A9D"/>
    <w:rsid w:val="00D42F1D"/>
    <w:rsid w:val="00D72CE3"/>
    <w:rsid w:val="00D862A9"/>
    <w:rsid w:val="00DA22FD"/>
    <w:rsid w:val="00DA4336"/>
    <w:rsid w:val="00DC0619"/>
    <w:rsid w:val="00DC7CA4"/>
    <w:rsid w:val="00DD1E25"/>
    <w:rsid w:val="00DD1F78"/>
    <w:rsid w:val="00DE602A"/>
    <w:rsid w:val="00DF460C"/>
    <w:rsid w:val="00E01546"/>
    <w:rsid w:val="00E10F4A"/>
    <w:rsid w:val="00E236AB"/>
    <w:rsid w:val="00E46B4E"/>
    <w:rsid w:val="00E8130A"/>
    <w:rsid w:val="00E85D8E"/>
    <w:rsid w:val="00E87B91"/>
    <w:rsid w:val="00E9402F"/>
    <w:rsid w:val="00EA7126"/>
    <w:rsid w:val="00EC3CA9"/>
    <w:rsid w:val="00ED62AE"/>
    <w:rsid w:val="00EF13D7"/>
    <w:rsid w:val="00EF5473"/>
    <w:rsid w:val="00F0093F"/>
    <w:rsid w:val="00F02685"/>
    <w:rsid w:val="00F1129E"/>
    <w:rsid w:val="00F11E27"/>
    <w:rsid w:val="00F41AD7"/>
    <w:rsid w:val="00F53B79"/>
    <w:rsid w:val="00F57756"/>
    <w:rsid w:val="00F671E2"/>
    <w:rsid w:val="00F712BC"/>
    <w:rsid w:val="00F83601"/>
    <w:rsid w:val="00F92395"/>
    <w:rsid w:val="00FA264C"/>
    <w:rsid w:val="00FB0683"/>
    <w:rsid w:val="00FC0C98"/>
    <w:rsid w:val="00FC4760"/>
    <w:rsid w:val="00FD6317"/>
    <w:rsid w:val="00FE1D52"/>
    <w:rsid w:val="00FE45B4"/>
    <w:rsid w:val="00FE7998"/>
    <w:rsid w:val="00FF7875"/>
    <w:rsid w:val="052906D0"/>
    <w:rsid w:val="0655BD7A"/>
    <w:rsid w:val="06EF3BF5"/>
    <w:rsid w:val="0727B2A4"/>
    <w:rsid w:val="07CDD28E"/>
    <w:rsid w:val="0DC43CA1"/>
    <w:rsid w:val="0F0E932A"/>
    <w:rsid w:val="0FF7ABC1"/>
    <w:rsid w:val="194FC44D"/>
    <w:rsid w:val="197F004B"/>
    <w:rsid w:val="1AECC065"/>
    <w:rsid w:val="1CE3DEB1"/>
    <w:rsid w:val="257F0161"/>
    <w:rsid w:val="28F9345A"/>
    <w:rsid w:val="2A3C4631"/>
    <w:rsid w:val="30FB6F68"/>
    <w:rsid w:val="37BAE3D0"/>
    <w:rsid w:val="3D8BCF7A"/>
    <w:rsid w:val="40EDD85B"/>
    <w:rsid w:val="421EAA89"/>
    <w:rsid w:val="4293B122"/>
    <w:rsid w:val="456C0B7C"/>
    <w:rsid w:val="4736CD26"/>
    <w:rsid w:val="4F0CBB1C"/>
    <w:rsid w:val="4FC573F0"/>
    <w:rsid w:val="57045886"/>
    <w:rsid w:val="571BD173"/>
    <w:rsid w:val="59547F1D"/>
    <w:rsid w:val="59E8BF7B"/>
    <w:rsid w:val="67FEE2E7"/>
    <w:rsid w:val="68B46771"/>
    <w:rsid w:val="69697F6E"/>
    <w:rsid w:val="76A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FAD94D2-0C25-4ECE-A082-63DE81E1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character" w:customStyle="1" w:styleId="normaltextrun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39078-A8F3-48B4-9C6A-9F378C47A943}"/>
</file>

<file path=customXml/itemProps2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448</Words>
  <Characters>2524</Characters>
  <Application>Microsoft Office Word</Application>
  <DocSecurity>0</DocSecurity>
  <Lines>74</Lines>
  <Paragraphs>60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31</cp:revision>
  <dcterms:created xsi:type="dcterms:W3CDTF">2025-08-17T18:32:00Z</dcterms:created>
  <dcterms:modified xsi:type="dcterms:W3CDTF">2025-11-02T18:53:00Z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