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2226AAD9" w14:paraId="1620C76D" w14:textId="77777777">
        <w:tc>
          <w:tcPr>
            <w:tcW w:w="13948" w:type="dxa"/>
            <w:gridSpan w:val="2"/>
            <w:shd w:val="clear" w:color="auto" w:fill="FAE2D5" w:themeFill="accent2" w:themeFillTint="33"/>
            <w:tcMar/>
          </w:tcPr>
          <w:p w:rsidRPr="008A0B27" w:rsidR="00195A54" w:rsidRDefault="008E1B61" w14:paraId="7F4BB30C" w14:textId="4BE05A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Literary perspectives from the First World War</w:t>
            </w:r>
          </w:p>
        </w:tc>
      </w:tr>
      <w:tr w:rsidRPr="008A0B27" w:rsidR="00195A54" w:rsidTr="2226AAD9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:rsidR="008D1BED" w:rsidP="008D1BED" w:rsidRDefault="008D1BED" w14:paraId="314C0DAE" w14:textId="4E75A35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</w:t>
            </w:r>
            <w:r w:rsidR="00C7226B">
              <w:rPr>
                <w:rFonts w:ascii="Calibri" w:hAnsi="Calibri" w:cs="Calibri"/>
              </w:rPr>
              <w:t xml:space="preserve">what life in the trenches was like for soldiers. </w:t>
            </w:r>
          </w:p>
          <w:p w:rsidR="00C7226B" w:rsidP="008D1BED" w:rsidRDefault="00C7226B" w14:paraId="570051BB" w14:textId="15EBC44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Analyse </w:t>
            </w:r>
            <w:r w:rsidR="0093471E">
              <w:rPr>
                <w:rFonts w:ascii="Calibri" w:hAnsi="Calibri" w:cs="Calibri"/>
              </w:rPr>
              <w:t xml:space="preserve">propaganda </w:t>
            </w:r>
            <w:r w:rsidR="001A643B">
              <w:rPr>
                <w:rFonts w:ascii="Calibri" w:hAnsi="Calibri" w:cs="Calibri"/>
              </w:rPr>
              <w:t xml:space="preserve">from World War One </w:t>
            </w:r>
            <w:r w:rsidR="0093471E">
              <w:rPr>
                <w:rFonts w:ascii="Calibri" w:hAnsi="Calibri" w:cs="Calibri"/>
              </w:rPr>
              <w:t xml:space="preserve">and explain what made it effective. </w:t>
            </w:r>
          </w:p>
          <w:p w:rsidR="00C0297C" w:rsidP="008D1BED" w:rsidRDefault="00C0297C" w14:paraId="2F24B601" w14:textId="234DD9E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how and why soldiers experienced trauma</w:t>
            </w:r>
            <w:r w:rsidR="001A643B">
              <w:rPr>
                <w:rFonts w:ascii="Calibri" w:hAnsi="Calibri" w:cs="Calibri"/>
              </w:rPr>
              <w:t xml:space="preserve"> in World War One</w:t>
            </w:r>
            <w:r>
              <w:rPr>
                <w:rFonts w:ascii="Calibri" w:hAnsi="Calibri" w:cs="Calibri"/>
              </w:rPr>
              <w:t xml:space="preserve">.  </w:t>
            </w:r>
          </w:p>
          <w:p w:rsidR="006C72E6" w:rsidP="008D1BED" w:rsidRDefault="006C72E6" w14:paraId="5016E14B" w14:textId="313561C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Write a vivid description of </w:t>
            </w:r>
            <w:r w:rsidR="00D51718">
              <w:rPr>
                <w:rFonts w:ascii="Calibri" w:hAnsi="Calibri" w:cs="Calibri"/>
              </w:rPr>
              <w:t>life in the trenches</w:t>
            </w:r>
            <w:r>
              <w:rPr>
                <w:rFonts w:ascii="Calibri" w:hAnsi="Calibri" w:cs="Calibri"/>
              </w:rPr>
              <w:t>.</w:t>
            </w:r>
          </w:p>
          <w:p w:rsidR="00D51718" w:rsidP="008D1BED" w:rsidRDefault="001C08D9" w14:paraId="1BE7C55A" w14:textId="2299329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</w:t>
            </w:r>
            <w:r w:rsidR="001A643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understand</w:t>
            </w:r>
            <w:r w:rsidR="001A643B">
              <w:rPr>
                <w:rFonts w:ascii="Calibri" w:hAnsi="Calibri" w:cs="Calibri"/>
              </w:rPr>
              <w:t xml:space="preserve"> and compare</w:t>
            </w:r>
            <w:r>
              <w:rPr>
                <w:rFonts w:ascii="Calibri" w:hAnsi="Calibri" w:cs="Calibri"/>
              </w:rPr>
              <w:t xml:space="preserve"> a variety of text types</w:t>
            </w:r>
            <w:r w:rsidR="009B7C87">
              <w:rPr>
                <w:rFonts w:ascii="Calibri" w:hAnsi="Calibri" w:cs="Calibri"/>
              </w:rPr>
              <w:t xml:space="preserve"> from different periods</w:t>
            </w:r>
            <w:r>
              <w:rPr>
                <w:rFonts w:ascii="Calibri" w:hAnsi="Calibri" w:cs="Calibri"/>
              </w:rPr>
              <w:t>, including propaganda materials</w:t>
            </w:r>
            <w:r w:rsidR="009B7C87">
              <w:rPr>
                <w:rFonts w:ascii="Calibri" w:hAnsi="Calibri" w:cs="Calibri"/>
              </w:rPr>
              <w:t xml:space="preserve"> and </w:t>
            </w:r>
            <w:r w:rsidR="00F2043F">
              <w:rPr>
                <w:rFonts w:ascii="Calibri" w:hAnsi="Calibri" w:cs="Calibri"/>
              </w:rPr>
              <w:t>a letter</w:t>
            </w:r>
            <w:r w:rsidR="009B7C87">
              <w:rPr>
                <w:rFonts w:ascii="Calibri" w:hAnsi="Calibri" w:cs="Calibri"/>
              </w:rPr>
              <w:t xml:space="preserve"> from 1917 and a short story from </w:t>
            </w:r>
            <w:r w:rsidR="009F100B">
              <w:rPr>
                <w:rFonts w:ascii="Calibri" w:hAnsi="Calibri" w:cs="Calibri"/>
              </w:rPr>
              <w:t>2014</w:t>
            </w:r>
            <w:r w:rsidR="00F2043F">
              <w:rPr>
                <w:rFonts w:ascii="Calibri" w:hAnsi="Calibri" w:cs="Calibri"/>
              </w:rPr>
              <w:t xml:space="preserve">. </w:t>
            </w:r>
          </w:p>
          <w:p w:rsidR="006C72E6" w:rsidP="008D1BED" w:rsidRDefault="006C72E6" w14:paraId="599C90A6" w14:textId="57B144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Write a letter </w:t>
            </w:r>
            <w:r w:rsidR="00396EAC">
              <w:rPr>
                <w:rFonts w:ascii="Calibri" w:hAnsi="Calibri" w:cs="Calibri"/>
              </w:rPr>
              <w:t xml:space="preserve">recounting an imagined experience from the trenches of World War One. </w:t>
            </w:r>
          </w:p>
          <w:p w:rsidRPr="008D1BED" w:rsidR="00F2043F" w:rsidP="008D1BED" w:rsidRDefault="00F2043F" w14:paraId="2274AF6E" w14:textId="535D415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 the features of different text types</w:t>
            </w:r>
            <w:r w:rsidR="008E1B61">
              <w:rPr>
                <w:rFonts w:ascii="Calibri" w:hAnsi="Calibri" w:cs="Calibri"/>
              </w:rPr>
              <w:t xml:space="preserve"> (letter, story, propaganda)</w:t>
            </w:r>
            <w:r>
              <w:rPr>
                <w:rFonts w:ascii="Calibri" w:hAnsi="Calibri" w:cs="Calibri"/>
              </w:rPr>
              <w:t>.</w:t>
            </w:r>
          </w:p>
          <w:p w:rsidRPr="001C0310" w:rsidR="000359BD" w:rsidP="001C0310" w:rsidRDefault="00251714" w14:paraId="51AFD685" w14:textId="550EABB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 </w:t>
            </w:r>
            <w:r w:rsidR="008E1B61">
              <w:rPr>
                <w:rFonts w:ascii="Calibri" w:hAnsi="Calibri" w:cs="Calibri"/>
              </w:rPr>
              <w:t>their</w:t>
            </w:r>
            <w:r>
              <w:rPr>
                <w:rFonts w:ascii="Calibri" w:hAnsi="Calibri" w:cs="Calibri"/>
              </w:rPr>
              <w:t xml:space="preserve"> vocabulary, </w:t>
            </w:r>
            <w:r w:rsidR="008D1BED">
              <w:rPr>
                <w:rFonts w:ascii="Calibri" w:hAnsi="Calibri" w:cs="Calibri"/>
              </w:rPr>
              <w:t xml:space="preserve">grammar and composition skills. </w:t>
            </w:r>
          </w:p>
        </w:tc>
      </w:tr>
      <w:tr w:rsidRPr="008A0B27" w:rsidR="00C305AB" w:rsidTr="2226AAD9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="00342972" w:rsidP="00513176" w:rsidRDefault="003B55BE" w14:paraId="7E807EAA" w14:textId="6B0A49D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59D9E867" w:rsidR="003B55BE">
              <w:rPr>
                <w:rFonts w:ascii="Calibri" w:hAnsi="Calibri" w:cs="Calibri"/>
              </w:rPr>
              <w:t>Communication</w:t>
            </w:r>
            <w:r w:rsidRPr="59D9E867" w:rsidR="03E87C07">
              <w:rPr>
                <w:rFonts w:ascii="Calibri" w:hAnsi="Calibri" w:cs="Calibri"/>
              </w:rPr>
              <w:t xml:space="preserve">, </w:t>
            </w:r>
            <w:r w:rsidRPr="59D9E867" w:rsidR="00BA3E2E">
              <w:rPr>
                <w:rFonts w:ascii="Calibri" w:hAnsi="Calibri" w:cs="Calibri"/>
              </w:rPr>
              <w:t>language</w:t>
            </w:r>
            <w:r w:rsidRPr="59D9E867" w:rsidR="71B45F4A">
              <w:rPr>
                <w:rFonts w:ascii="Calibri" w:hAnsi="Calibri" w:cs="Calibri"/>
              </w:rPr>
              <w:t xml:space="preserve"> and literacy</w:t>
            </w:r>
            <w:r w:rsidRPr="59D9E867" w:rsidR="00BA3E2E">
              <w:rPr>
                <w:rFonts w:ascii="Calibri" w:hAnsi="Calibri" w:cs="Calibri"/>
              </w:rPr>
              <w:t>: Discussions about the texts, events</w:t>
            </w:r>
            <w:r w:rsidRPr="59D9E867" w:rsidR="00EA16F3">
              <w:rPr>
                <w:rFonts w:ascii="Calibri" w:hAnsi="Calibri" w:cs="Calibri"/>
              </w:rPr>
              <w:t>,</w:t>
            </w:r>
            <w:r w:rsidRPr="59D9E867" w:rsidR="00EA16F3">
              <w:rPr>
                <w:rFonts w:ascii="Calibri" w:hAnsi="Calibri" w:cs="Calibri"/>
              </w:rPr>
              <w:t xml:space="preserve"> c</w:t>
            </w:r>
            <w:r w:rsidRPr="59D9E867" w:rsidR="00BA3E2E">
              <w:rPr>
                <w:rFonts w:ascii="Calibri" w:hAnsi="Calibri" w:cs="Calibri"/>
              </w:rPr>
              <w:t>haracter</w:t>
            </w:r>
            <w:r w:rsidRPr="59D9E867" w:rsidR="00BA3E2E">
              <w:rPr>
                <w:rFonts w:ascii="Calibri" w:hAnsi="Calibri" w:cs="Calibri"/>
              </w:rPr>
              <w:t>s</w:t>
            </w:r>
            <w:r w:rsidRPr="59D9E867" w:rsidR="00EA16F3">
              <w:rPr>
                <w:rFonts w:ascii="Calibri" w:hAnsi="Calibri" w:cs="Calibri"/>
              </w:rPr>
              <w:t xml:space="preserve"> and author’s choice of language</w:t>
            </w:r>
            <w:r w:rsidRPr="59D9E867" w:rsidR="00BA3E2E">
              <w:rPr>
                <w:rFonts w:ascii="Calibri" w:hAnsi="Calibri" w:cs="Calibri"/>
              </w:rPr>
              <w:t xml:space="preserve">. </w:t>
            </w:r>
          </w:p>
          <w:p w:rsidR="00BA3E2E" w:rsidP="00513176" w:rsidRDefault="00EA16F3" w14:paraId="036CC66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PSED: </w:t>
            </w:r>
            <w:r w:rsidR="00ED6B38">
              <w:rPr>
                <w:rFonts w:ascii="Calibri" w:hAnsi="Calibri" w:cs="Calibri"/>
              </w:rPr>
              <w:t xml:space="preserve">Reflect on the emotional experiences of characters such as Alfred. </w:t>
            </w:r>
          </w:p>
          <w:p w:rsidR="00ED6B38" w:rsidP="00513176" w:rsidRDefault="00B93623" w14:paraId="13DB8585" w14:textId="31114B0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59D9E867" w:rsidR="00B93623">
              <w:rPr>
                <w:rFonts w:ascii="Calibri" w:hAnsi="Calibri" w:cs="Calibri"/>
              </w:rPr>
              <w:t>Physical development</w:t>
            </w:r>
            <w:r w:rsidRPr="59D9E867" w:rsidR="006E7252">
              <w:rPr>
                <w:rFonts w:ascii="Calibri" w:hAnsi="Calibri" w:cs="Calibri"/>
              </w:rPr>
              <w:t xml:space="preserve"> / expressive arts and design</w:t>
            </w:r>
            <w:r w:rsidRPr="59D9E867" w:rsidR="00B93623">
              <w:rPr>
                <w:rFonts w:ascii="Calibri" w:hAnsi="Calibri" w:cs="Calibri"/>
              </w:rPr>
              <w:t>: Develop fine motor skills through blackout poetry</w:t>
            </w:r>
            <w:r w:rsidRPr="59D9E867" w:rsidR="006E7252">
              <w:rPr>
                <w:rFonts w:ascii="Calibri" w:hAnsi="Calibri" w:cs="Calibri"/>
              </w:rPr>
              <w:t xml:space="preserve">, </w:t>
            </w:r>
            <w:r w:rsidRPr="59D9E867" w:rsidR="00B93623">
              <w:rPr>
                <w:rFonts w:ascii="Calibri" w:hAnsi="Calibri" w:cs="Calibri"/>
              </w:rPr>
              <w:t>drawing of the trenches</w:t>
            </w:r>
            <w:r w:rsidRPr="59D9E867" w:rsidR="00130ED5">
              <w:rPr>
                <w:rFonts w:ascii="Calibri" w:hAnsi="Calibri" w:cs="Calibri"/>
              </w:rPr>
              <w:t>, creation of propaganda</w:t>
            </w:r>
            <w:r w:rsidRPr="59D9E867" w:rsidR="006E7252">
              <w:rPr>
                <w:rFonts w:ascii="Calibri" w:hAnsi="Calibri" w:cs="Calibri"/>
              </w:rPr>
              <w:t xml:space="preserve"> or dr</w:t>
            </w:r>
            <w:r w:rsidRPr="59D9E867" w:rsidR="00EF4232">
              <w:rPr>
                <w:rFonts w:ascii="Calibri" w:hAnsi="Calibri" w:cs="Calibri"/>
              </w:rPr>
              <w:t>ama based on trench scenes / the gas attack in Beck’s ‘Propping Up the Line’</w:t>
            </w:r>
            <w:r w:rsidRPr="59D9E867" w:rsidR="00B93623">
              <w:rPr>
                <w:rFonts w:ascii="Calibri" w:hAnsi="Calibri" w:cs="Calibri"/>
              </w:rPr>
              <w:t xml:space="preserve">. </w:t>
            </w:r>
          </w:p>
          <w:p w:rsidRPr="00513176" w:rsidR="00A7121A" w:rsidP="00513176" w:rsidRDefault="0015512E" w14:paraId="4FB875D6" w14:textId="2732429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the world: Historical context of World War One. </w:t>
            </w:r>
          </w:p>
        </w:tc>
      </w:tr>
      <w:tr w:rsidRPr="008A0B27" w:rsidR="00195A54" w:rsidTr="2226AAD9" w14:paraId="4E7257A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2226AAD9" w14:paraId="06DADF0D" w14:textId="77777777">
        <w:tc>
          <w:tcPr>
            <w:tcW w:w="6974" w:type="dxa"/>
            <w:tcMar/>
          </w:tcPr>
          <w:p w:rsidR="00530A47" w:rsidP="00CC63ED" w:rsidRDefault="00BD4C2F" w14:paraId="38EE767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E67AC0">
              <w:rPr>
                <w:rFonts w:ascii="Calibri" w:hAnsi="Calibri" w:cs="Calibri"/>
              </w:rPr>
              <w:t xml:space="preserve">explain </w:t>
            </w:r>
            <w:r w:rsidR="00CC63ED">
              <w:rPr>
                <w:rFonts w:ascii="Calibri" w:hAnsi="Calibri" w:cs="Calibri"/>
              </w:rPr>
              <w:t xml:space="preserve">why people write about war. </w:t>
            </w:r>
            <w:r w:rsidR="00AF779B">
              <w:rPr>
                <w:rFonts w:ascii="Calibri" w:hAnsi="Calibri" w:cs="Calibri"/>
              </w:rPr>
              <w:t xml:space="preserve"> </w:t>
            </w:r>
          </w:p>
          <w:p w:rsidR="00DF48B2" w:rsidP="00CC63ED" w:rsidRDefault="00DF48B2" w14:paraId="2C04127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why propaganda </w:t>
            </w:r>
            <w:r w:rsidR="00BB0747">
              <w:rPr>
                <w:rFonts w:ascii="Calibri" w:hAnsi="Calibri" w:cs="Calibri"/>
              </w:rPr>
              <w:t xml:space="preserve">about World War One </w:t>
            </w:r>
            <w:r>
              <w:rPr>
                <w:rFonts w:ascii="Calibri" w:hAnsi="Calibri" w:cs="Calibri"/>
              </w:rPr>
              <w:t>was so effective</w:t>
            </w:r>
            <w:r w:rsidR="00BB0747">
              <w:rPr>
                <w:rFonts w:ascii="Calibri" w:hAnsi="Calibri" w:cs="Calibri"/>
              </w:rPr>
              <w:t xml:space="preserve"> and understand the differences between this propaganda and the realities of trench warfare. </w:t>
            </w:r>
          </w:p>
          <w:p w:rsidR="00BB0747" w:rsidP="00CC63ED" w:rsidRDefault="00783FB1" w14:paraId="7A4893C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explain how Ian Beck presents the gas attack in his short story ‘</w:t>
            </w:r>
            <w:r w:rsidR="00A41637">
              <w:rPr>
                <w:rFonts w:ascii="Calibri" w:hAnsi="Calibri" w:cs="Calibri"/>
              </w:rPr>
              <w:t>Propping Up the Line’.</w:t>
            </w:r>
          </w:p>
          <w:p w:rsidR="00881876" w:rsidP="00CC63ED" w:rsidRDefault="00881876" w14:paraId="38407DF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explore </w:t>
            </w:r>
            <w:r w:rsidR="00F840BC">
              <w:rPr>
                <w:rFonts w:ascii="Calibri" w:hAnsi="Calibri" w:cs="Calibri"/>
              </w:rPr>
              <w:t xml:space="preserve">Beck’s presentation of </w:t>
            </w:r>
            <w:r>
              <w:rPr>
                <w:rFonts w:ascii="Calibri" w:hAnsi="Calibri" w:cs="Calibri"/>
              </w:rPr>
              <w:t xml:space="preserve">the character Alfred’s trauma </w:t>
            </w:r>
            <w:r w:rsidR="00F840BC">
              <w:rPr>
                <w:rFonts w:ascii="Calibri" w:hAnsi="Calibri" w:cs="Calibri"/>
              </w:rPr>
              <w:t xml:space="preserve">in ‘Propping Up the Line’. </w:t>
            </w:r>
          </w:p>
          <w:p w:rsidR="009E3419" w:rsidP="00CC63ED" w:rsidRDefault="009E3419" w14:paraId="6AC42C5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 can write a vivid description </w:t>
            </w:r>
            <w:r w:rsidR="00C735E3">
              <w:rPr>
                <w:rFonts w:ascii="Calibri" w:hAnsi="Calibri" w:cs="Calibri"/>
              </w:rPr>
              <w:t>inspired by Ian Beck’s ‘Propping Up the Line’ which captures some of the Alfred’s experiences and memories of the front line.</w:t>
            </w:r>
          </w:p>
          <w:p w:rsidR="00CB64ED" w:rsidP="00CC63ED" w:rsidRDefault="00CB64ED" w14:paraId="7DA4807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show a thorough understanding of the 1917 letter Wilfred Owen sent to his mother </w:t>
            </w:r>
            <w:r w:rsidR="00561573">
              <w:rPr>
                <w:rFonts w:ascii="Calibri" w:hAnsi="Calibri" w:cs="Calibri"/>
              </w:rPr>
              <w:t xml:space="preserve">from the trenches of World War One. </w:t>
            </w:r>
          </w:p>
          <w:p w:rsidRPr="00B6402B" w:rsidR="00561573" w:rsidP="00CC63ED" w:rsidRDefault="00C143F1" w14:paraId="13987915" w14:textId="31D95F3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plan and write </w:t>
            </w:r>
            <w:r w:rsidR="00867C9D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letter </w:t>
            </w:r>
            <w:r w:rsidR="00867C9D">
              <w:rPr>
                <w:rFonts w:ascii="Calibri" w:hAnsi="Calibri" w:cs="Calibri"/>
              </w:rPr>
              <w:t xml:space="preserve">which recounts an imagined experience from the trenches of World War One, using Owen’s letter to his mother as a stimulus. </w:t>
            </w:r>
          </w:p>
        </w:tc>
        <w:tc>
          <w:tcPr>
            <w:tcW w:w="6974" w:type="dxa"/>
            <w:tcMar/>
          </w:tcPr>
          <w:p w:rsidR="00195A54" w:rsidRDefault="00380671" w14:paraId="5862B9EB" w14:textId="0D8BC4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Learners will explore and analyse </w:t>
            </w:r>
            <w:r w:rsidR="00565EF7">
              <w:rPr>
                <w:rFonts w:ascii="Calibri" w:hAnsi="Calibri" w:cs="Calibri"/>
              </w:rPr>
              <w:t xml:space="preserve">different types of </w:t>
            </w:r>
            <w:r>
              <w:rPr>
                <w:rFonts w:ascii="Calibri" w:hAnsi="Calibri" w:cs="Calibri"/>
              </w:rPr>
              <w:t xml:space="preserve">writing from World War One. They will gain </w:t>
            </w:r>
            <w:r w:rsidR="00565EF7">
              <w:rPr>
                <w:rFonts w:ascii="Calibri" w:hAnsi="Calibri" w:cs="Calibri"/>
              </w:rPr>
              <w:t xml:space="preserve">awareness and understanding of </w:t>
            </w:r>
            <w:r w:rsidR="00BA6936">
              <w:rPr>
                <w:rFonts w:ascii="Calibri" w:hAnsi="Calibri" w:cs="Calibri"/>
              </w:rPr>
              <w:t>the purposes of different texts and</w:t>
            </w:r>
            <w:r w:rsidR="008623D1">
              <w:rPr>
                <w:rFonts w:ascii="Calibri" w:hAnsi="Calibri" w:cs="Calibri"/>
              </w:rPr>
              <w:t xml:space="preserve"> be able to articulate how and why the texts present war differently. </w:t>
            </w: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2226AAD9" w14:paraId="11B5495E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2226AAD9" w14:paraId="49B65D1F" w14:textId="77777777">
        <w:tc>
          <w:tcPr>
            <w:tcW w:w="6974" w:type="dxa"/>
            <w:tcMar/>
          </w:tcPr>
          <w:p w:rsidR="00686B7E" w:rsidRDefault="00783FB1" w14:paraId="2F4E29B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Propaganda</w:t>
            </w:r>
          </w:p>
          <w:p w:rsidR="00783FB1" w:rsidRDefault="00783FB1" w14:paraId="6839F099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Trench</w:t>
            </w:r>
          </w:p>
          <w:p w:rsidR="00783FB1" w:rsidRDefault="00F840BC" w14:paraId="2C540E7C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Trauma</w:t>
            </w:r>
          </w:p>
          <w:p w:rsidR="00F840BC" w:rsidRDefault="00C735E3" w14:paraId="4B180B33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Front line</w:t>
            </w:r>
          </w:p>
          <w:p w:rsidR="00D64422" w:rsidRDefault="00D64422" w14:paraId="178A5437" w14:textId="2BCD16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Symbolise</w:t>
            </w:r>
          </w:p>
          <w:p w:rsidR="00D64422" w:rsidRDefault="00D64422" w14:paraId="4F53817A" w14:textId="4BE87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 </w:t>
            </w:r>
            <w:r w:rsidR="009535A1">
              <w:rPr>
                <w:rFonts w:ascii="Calibri" w:hAnsi="Calibri" w:cs="Calibri"/>
              </w:rPr>
              <w:t>ma</w:t>
            </w:r>
            <w:r>
              <w:rPr>
                <w:rFonts w:ascii="Calibri" w:hAnsi="Calibri" w:cs="Calibri"/>
              </w:rPr>
              <w:t xml:space="preserve">n’s </w:t>
            </w:r>
            <w:r w:rsidR="009535A1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and</w:t>
            </w:r>
          </w:p>
          <w:p w:rsidR="009535A1" w:rsidRDefault="00653B06" w14:paraId="6F2262DE" w14:textId="215BFF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person narrative</w:t>
            </w:r>
          </w:p>
          <w:p w:rsidR="00653B06" w:rsidRDefault="00B13AE2" w14:paraId="3665FBF0" w14:textId="547658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Short story</w:t>
            </w:r>
          </w:p>
          <w:p w:rsidR="00B13AE2" w:rsidRDefault="00B13AE2" w14:paraId="4CC4ED28" w14:textId="663BA5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Simile</w:t>
            </w:r>
          </w:p>
          <w:p w:rsidR="00B13AE2" w:rsidRDefault="00C84599" w14:paraId="176DD95B" w14:textId="36C5A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Methods</w:t>
            </w:r>
          </w:p>
          <w:p w:rsidR="00C84599" w:rsidRDefault="003F487F" w14:paraId="602A4826" w14:textId="62477A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PTSD</w:t>
            </w:r>
          </w:p>
          <w:p w:rsidR="00D64422" w:rsidRDefault="00796E53" w14:paraId="2A785BF8" w14:textId="70C7D7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Single paragraph outline</w:t>
            </w:r>
          </w:p>
          <w:p w:rsidR="00796E53" w:rsidRDefault="001126E0" w14:paraId="173104B1" w14:textId="677A1D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Non-fiction</w:t>
            </w:r>
          </w:p>
          <w:p w:rsidR="001126E0" w:rsidRDefault="001126E0" w14:paraId="2A7B24D7" w14:textId="5990DB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Fiction</w:t>
            </w:r>
          </w:p>
          <w:p w:rsidR="001126E0" w:rsidRDefault="001126E0" w14:paraId="294602FE" w14:textId="752DEF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Gist</w:t>
            </w:r>
          </w:p>
          <w:p w:rsidR="001126E0" w:rsidRDefault="001126E0" w14:paraId="6AA50F6B" w14:textId="672E73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Skim and scan</w:t>
            </w:r>
          </w:p>
          <w:p w:rsidR="001126E0" w:rsidRDefault="00D30972" w14:paraId="38BEF24F" w14:textId="3FCDD1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Close reading</w:t>
            </w:r>
          </w:p>
          <w:p w:rsidR="00D30972" w:rsidRDefault="00D30972" w14:paraId="38F9E9E6" w14:textId="72A375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</w:t>
            </w:r>
          </w:p>
          <w:p w:rsidR="00D30972" w:rsidRDefault="00B436F2" w14:paraId="486D6EB6" w14:textId="364143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Recount</w:t>
            </w:r>
          </w:p>
          <w:p w:rsidR="00B436F2" w:rsidRDefault="00B436F2" w14:paraId="15DB672D" w14:textId="211E0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</w:t>
            </w:r>
          </w:p>
          <w:p w:rsidR="00372D01" w:rsidRDefault="00372D01" w14:paraId="4127722C" w14:textId="54603D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Rhythm</w:t>
            </w:r>
          </w:p>
          <w:p w:rsidR="00372D01" w:rsidRDefault="00372D01" w14:paraId="28A61871" w14:textId="6A32EF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Fronted adverbial</w:t>
            </w:r>
          </w:p>
          <w:p w:rsidRPr="008A0B27" w:rsidR="00C735E3" w:rsidRDefault="00C735E3" w14:paraId="1E0D00A8" w14:textId="0E8EFDFE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A41637" w:rsidRDefault="00783FB1" w14:paraId="7D91855A" w14:textId="0036BA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Propaganda materials from World War On</w:t>
            </w:r>
            <w:r w:rsidR="00A41637">
              <w:rPr>
                <w:rFonts w:ascii="Calibri" w:hAnsi="Calibri" w:cs="Calibri"/>
              </w:rPr>
              <w:t>e.</w:t>
            </w:r>
          </w:p>
          <w:p w:rsidR="00A41637" w:rsidRDefault="00A41637" w14:paraId="0FAFFC89" w14:textId="048206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‘Propping Up the Line’ by Ian Beck. </w:t>
            </w:r>
          </w:p>
          <w:p w:rsidRPr="008A0B27" w:rsidR="00CC63ED" w:rsidRDefault="009970C5" w14:paraId="73DEE9A5" w14:textId="544DF7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Wilfred Owen’s 1917 letter to his mother</w:t>
            </w:r>
          </w:p>
        </w:tc>
      </w:tr>
      <w:tr w:rsidRPr="008A0B27" w:rsidR="00195A54" w:rsidTr="2226AAD9" w14:paraId="52FDDB7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2226AAD9" w14:paraId="542ABD73" w14:textId="77777777">
        <w:tc>
          <w:tcPr>
            <w:tcW w:w="6974" w:type="dxa"/>
            <w:tcMar/>
          </w:tcPr>
          <w:p w:rsidR="0079506D" w:rsidP="00CC63ED" w:rsidRDefault="00616BC3" w14:paraId="05F04E9B" w14:textId="34F207BA">
            <w:pPr>
              <w:rPr>
                <w:rFonts w:ascii="Calibri" w:hAnsi="Calibri" w:cs="Calibri"/>
              </w:rPr>
            </w:pPr>
            <w:r w:rsidRPr="2226AAD9" w:rsidR="7AAB8483">
              <w:rPr>
                <w:rFonts w:ascii="Calibri" w:hAnsi="Calibri" w:cs="Calibri"/>
              </w:rPr>
              <w:t xml:space="preserve">Learners may confuse </w:t>
            </w:r>
            <w:r w:rsidRPr="2226AAD9" w:rsidR="00616BC3">
              <w:rPr>
                <w:rFonts w:ascii="Calibri" w:hAnsi="Calibri" w:cs="Calibri"/>
              </w:rPr>
              <w:t xml:space="preserve">World War One and World War Two. </w:t>
            </w:r>
          </w:p>
          <w:p w:rsidR="2226AAD9" w:rsidP="2226AAD9" w:rsidRDefault="2226AAD9" w14:paraId="61FB4422" w14:textId="461089F4">
            <w:pPr>
              <w:pStyle w:val="Normal"/>
              <w:rPr>
                <w:rFonts w:ascii="Calibri" w:hAnsi="Calibri" w:cs="Calibri"/>
              </w:rPr>
            </w:pPr>
          </w:p>
          <w:p w:rsidRPr="008A0B27" w:rsidR="00B13AE2" w:rsidP="2226AAD9" w:rsidRDefault="00B13AE2" w14:paraId="273E1A84" w14:textId="6FAEB42E">
            <w:pPr>
              <w:rPr>
                <w:rFonts w:ascii="Calibri" w:hAnsi="Calibri" w:cs="Calibri"/>
              </w:rPr>
            </w:pPr>
            <w:r w:rsidRPr="2226AAD9" w:rsidR="2FF6DE50">
              <w:rPr>
                <w:rFonts w:ascii="Calibri" w:hAnsi="Calibri" w:cs="Calibri"/>
              </w:rPr>
              <w:t>Learners may think that a</w:t>
            </w:r>
            <w:r w:rsidRPr="2226AAD9" w:rsidR="00B13AE2">
              <w:rPr>
                <w:rFonts w:ascii="Calibri" w:hAnsi="Calibri" w:cs="Calibri"/>
              </w:rPr>
              <w:t xml:space="preserve">nyone who breathed in gas died </w:t>
            </w:r>
            <w:r w:rsidRPr="2226AAD9" w:rsidR="00B13AE2">
              <w:rPr>
                <w:rFonts w:ascii="Calibri" w:hAnsi="Calibri" w:cs="Calibri"/>
              </w:rPr>
              <w:t>immediately</w:t>
            </w:r>
            <w:r w:rsidRPr="2226AAD9" w:rsidR="00B13AE2">
              <w:rPr>
                <w:rFonts w:ascii="Calibri" w:hAnsi="Calibri" w:cs="Calibri"/>
              </w:rPr>
              <w:t xml:space="preserve">. </w:t>
            </w:r>
          </w:p>
          <w:p w:rsidRPr="008A0B27" w:rsidR="00B13AE2" w:rsidP="2226AAD9" w:rsidRDefault="00B13AE2" w14:paraId="6D960701" w14:textId="7C9A7111">
            <w:pPr>
              <w:rPr>
                <w:rFonts w:ascii="Calibri" w:hAnsi="Calibri" w:cs="Calibri"/>
              </w:rPr>
            </w:pPr>
          </w:p>
          <w:p w:rsidRPr="008A0B27" w:rsidR="00B13AE2" w:rsidP="2226AAD9" w:rsidRDefault="00B13AE2" w14:paraId="19DC623B" w14:textId="6EF191BD">
            <w:pPr>
              <w:rPr>
                <w:rFonts w:ascii="Calibri" w:hAnsi="Calibri" w:cs="Calibri"/>
              </w:rPr>
            </w:pPr>
            <w:r w:rsidRPr="2226AAD9" w:rsidR="3E68D480">
              <w:rPr>
                <w:rFonts w:ascii="Calibri" w:hAnsi="Calibri" w:cs="Calibri"/>
              </w:rPr>
              <w:t xml:space="preserve">Learners may think that all soldiers had PTSD and </w:t>
            </w: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equate all emotional distress with clinical trauma, missing nuance in how people experienced and coped with fear and grief.</w:t>
            </w:r>
          </w:p>
          <w:p w:rsidRPr="008A0B27" w:rsidR="00B13AE2" w:rsidP="2226AAD9" w:rsidRDefault="00B13AE2" w14:paraId="3FE9463D" w14:textId="15AEB9E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04270F32" w14:textId="39F28A53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Instead of seeing propaganda as persuasive or morale-boosting, learners might simplify it as deceptive advertising.</w:t>
            </w:r>
          </w:p>
          <w:p w:rsidRPr="008A0B27" w:rsidR="00B13AE2" w:rsidP="2226AAD9" w:rsidRDefault="00B13AE2" w14:paraId="00932CDC" w14:textId="1648B3B7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403C3485" w14:textId="69205C89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Misinterpreting Owen’s private letter as performance could lead to false assumptions about tone and intent.</w:t>
            </w:r>
          </w:p>
          <w:p w:rsidRPr="008A0B27" w:rsidR="00B13AE2" w:rsidP="2226AAD9" w:rsidRDefault="00B13AE2" w14:paraId="7E4C7569" w14:textId="5F734D7D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6BCBFEF0" w14:textId="094F272D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Some learners may view Beck’s character through a bravado lens (and view Alfred as weak </w:t>
            </w: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because</w:t>
            </w: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he is scared), </w:t>
            </w: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failing to appreciate</w:t>
            </w: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emotional depth and vulnerability as strength.</w:t>
            </w:r>
          </w:p>
          <w:p w:rsidRPr="008A0B27" w:rsidR="00B13AE2" w:rsidP="2226AAD9" w:rsidRDefault="00B13AE2" w14:paraId="51289F1B" w14:textId="69E30849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6061E53F" w14:textId="71DF1194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might believe that texts like Owen’s letter are stylized stories, not authentic, personal accounts.</w:t>
            </w:r>
          </w:p>
          <w:p w:rsidRPr="008A0B27" w:rsidR="00B13AE2" w:rsidP="2226AAD9" w:rsidRDefault="00B13AE2" w14:paraId="723A6DF7" w14:textId="126D4B14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1870F1A4" w14:textId="3B025163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There could be an overreliance on violence rather than atmospheric or sensory language in descriptive writing.</w:t>
            </w:r>
          </w:p>
          <w:p w:rsidRPr="008A0B27" w:rsidR="00B13AE2" w:rsidP="2226AAD9" w:rsidRDefault="00B13AE2" w14:paraId="01CF4E7F" w14:textId="1735203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226AAD9" w:rsidRDefault="00B13AE2" w14:paraId="284D94C9" w14:textId="3C2A40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think all trench life was the same – they may generalize experiences across soldiers without recognising variation based on rank, location, or time.</w:t>
            </w:r>
          </w:p>
          <w:p w:rsidRPr="008A0B27" w:rsidR="00B13AE2" w:rsidP="2226AAD9" w:rsidRDefault="00B13AE2" w14:paraId="254D2804" w14:textId="4B3844E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00CC63ED" w:rsidRDefault="00B13AE2" w14:paraId="5C6CC39D" w14:textId="38FE9D4D">
            <w:pPr/>
            <w:r w:rsidRPr="2226AAD9" w:rsidR="3E68D48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think that trauma should be kept private and struggle to discuss emotional content aloud. Learners may think it inappropriate to reflect on grief in creative work.</w:t>
            </w:r>
          </w:p>
          <w:p w:rsidRPr="008A0B27" w:rsidR="00B13AE2" w:rsidP="2226AAD9" w:rsidRDefault="00B13AE2" w14:paraId="299CC210" w14:textId="22F0B435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="00932800" w:rsidRDefault="00616BC3" w14:paraId="277A025A" w14:textId="3F944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– World War One</w:t>
            </w:r>
          </w:p>
          <w:p w:rsidR="00616BC3" w:rsidRDefault="00616BC3" w14:paraId="6FEABDA2" w14:textId="6A630B5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PSHE – Trauma and family</w:t>
            </w:r>
          </w:p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F161D7" w:rsidP="00F161D7" w:rsidRDefault="00195A54" w14:paraId="5FBCC942" w14:textId="3A4DB108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F161D7">
      <w:rPr>
        <w:rFonts w:ascii="Calibri" w:hAnsi="Calibri" w:cs="Calibri"/>
      </w:rPr>
      <w:t>9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</w:t>
    </w:r>
    <w:r w:rsidR="00CC63ED">
      <w:rPr>
        <w:rFonts w:ascii="Calibri" w:hAnsi="Calibri" w:cs="Calibri"/>
      </w:rPr>
      <w:t xml:space="preserve">2: Literary perspectives from the </w:t>
    </w:r>
    <w:r w:rsidR="008E1B61">
      <w:rPr>
        <w:rFonts w:ascii="Calibri" w:hAnsi="Calibri" w:cs="Calibri"/>
      </w:rPr>
      <w:t>F</w:t>
    </w:r>
    <w:r w:rsidR="00CC63ED">
      <w:rPr>
        <w:rFonts w:ascii="Calibri" w:hAnsi="Calibri" w:cs="Calibri"/>
      </w:rPr>
      <w:t xml:space="preserve">irst </w:t>
    </w:r>
    <w:r w:rsidR="008E1B61">
      <w:rPr>
        <w:rFonts w:ascii="Calibri" w:hAnsi="Calibri" w:cs="Calibri"/>
      </w:rPr>
      <w:t>W</w:t>
    </w:r>
    <w:r w:rsidR="00CC63ED">
      <w:rPr>
        <w:rFonts w:ascii="Calibri" w:hAnsi="Calibri" w:cs="Calibri"/>
      </w:rPr>
      <w:t xml:space="preserve">orld </w:t>
    </w:r>
    <w:r w:rsidR="008E1B61">
      <w:rPr>
        <w:rFonts w:ascii="Calibri" w:hAnsi="Calibri" w:cs="Calibri"/>
      </w:rPr>
      <w:t>W</w:t>
    </w:r>
    <w:r w:rsidR="00CC63ED">
      <w:rPr>
        <w:rFonts w:ascii="Calibri" w:hAnsi="Calibri" w:cs="Calibri"/>
      </w:rPr>
      <w:t>ar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655BD7A"/>
    <w:rsid w:val="0727B2A4"/>
    <w:rsid w:val="07CDD28E"/>
    <w:rsid w:val="0FF7ABC1"/>
    <w:rsid w:val="1143BAEE"/>
    <w:rsid w:val="162589B5"/>
    <w:rsid w:val="162A9F55"/>
    <w:rsid w:val="194FC44D"/>
    <w:rsid w:val="1ADCCA3C"/>
    <w:rsid w:val="1CE3DEB1"/>
    <w:rsid w:val="2226AAD9"/>
    <w:rsid w:val="257F0161"/>
    <w:rsid w:val="2FF6DE50"/>
    <w:rsid w:val="37BAE3D0"/>
    <w:rsid w:val="3D8BCF7A"/>
    <w:rsid w:val="3E68D480"/>
    <w:rsid w:val="40EDD85B"/>
    <w:rsid w:val="456C0B7C"/>
    <w:rsid w:val="4FC573F0"/>
    <w:rsid w:val="527586A5"/>
    <w:rsid w:val="59D9E867"/>
    <w:rsid w:val="5ACC5022"/>
    <w:rsid w:val="68DE02EE"/>
    <w:rsid w:val="69697F6E"/>
    <w:rsid w:val="71B45F4A"/>
    <w:rsid w:val="7AAB8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EBD2D-E8EB-47CB-8615-D5820E0BC91F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182</cp:revision>
  <dcterms:created xsi:type="dcterms:W3CDTF">2025-06-18T15:37:00Z</dcterms:created>
  <dcterms:modified xsi:type="dcterms:W3CDTF">2025-07-22T20:01:40Z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