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09" w:type="dxa"/>
        <w:tblLook w:val="04A0" w:firstRow="1" w:lastRow="0" w:firstColumn="1" w:lastColumn="0" w:noHBand="0" w:noVBand="1"/>
      </w:tblPr>
      <w:tblGrid>
        <w:gridCol w:w="7725"/>
        <w:gridCol w:w="7784"/>
      </w:tblGrid>
      <w:tr w:rsidR="00195A54" w:rsidRPr="00195A54" w14:paraId="1620C76D" w14:textId="77777777" w:rsidTr="676E8892">
        <w:tc>
          <w:tcPr>
            <w:tcW w:w="15509" w:type="dxa"/>
            <w:gridSpan w:val="2"/>
            <w:shd w:val="clear" w:color="auto" w:fill="FAE2D5" w:themeFill="accent2" w:themeFillTint="33"/>
          </w:tcPr>
          <w:p w14:paraId="7F4BB30C" w14:textId="055C2197" w:rsidR="00195A54" w:rsidRPr="00195A54" w:rsidRDefault="28F84B91">
            <w:pPr>
              <w:rPr>
                <w:rFonts w:cs="Calibri"/>
                <w:b/>
                <w:bCs/>
              </w:rPr>
            </w:pPr>
            <w:r w:rsidRPr="60B89CF8">
              <w:rPr>
                <w:rFonts w:cs="Calibri"/>
                <w:b/>
                <w:bCs/>
              </w:rPr>
              <w:t>Name of unit</w:t>
            </w:r>
            <w:r w:rsidR="1444B555" w:rsidRPr="60B89CF8">
              <w:rPr>
                <w:rFonts w:cs="Calibri"/>
                <w:b/>
                <w:bCs/>
              </w:rPr>
              <w:t xml:space="preserve">: </w:t>
            </w:r>
            <w:r w:rsidR="00970644">
              <w:rPr>
                <w:rFonts w:cs="Calibri"/>
                <w:b/>
                <w:bCs/>
              </w:rPr>
              <w:t xml:space="preserve"> Economic Wellbeing</w:t>
            </w:r>
          </w:p>
        </w:tc>
      </w:tr>
      <w:tr w:rsidR="00195A54" w:rsidRPr="00195A54" w14:paraId="61C58675" w14:textId="77777777" w:rsidTr="676E8892">
        <w:tc>
          <w:tcPr>
            <w:tcW w:w="15509" w:type="dxa"/>
            <w:gridSpan w:val="2"/>
          </w:tcPr>
          <w:p w14:paraId="139F6905" w14:textId="2A7CEC4F" w:rsidR="00195A54" w:rsidRDefault="4F48B39E">
            <w:pPr>
              <w:rPr>
                <w:rFonts w:cs="Calibri"/>
                <w:b/>
                <w:bCs/>
              </w:rPr>
            </w:pPr>
            <w:r w:rsidRPr="60B89CF8">
              <w:rPr>
                <w:rFonts w:cs="Calibri"/>
                <w:b/>
                <w:bCs/>
              </w:rPr>
              <w:t>Expected Outcomes</w:t>
            </w:r>
            <w:r w:rsidR="1444B555" w:rsidRPr="60B89CF8">
              <w:rPr>
                <w:rFonts w:cs="Calibri"/>
                <w:b/>
                <w:bCs/>
              </w:rPr>
              <w:t xml:space="preserve"> (PSHE Learning Intentions)</w:t>
            </w:r>
          </w:p>
          <w:p w14:paraId="2FF2C0BC" w14:textId="77777777" w:rsidR="00BA2696" w:rsidRDefault="00BA2696" w:rsidP="00BA2696">
            <w:r>
              <w:t>Pupils who are secure will be able to:</w:t>
            </w:r>
          </w:p>
          <w:p w14:paraId="2E0AB4D1" w14:textId="77777777" w:rsidR="00BA2696" w:rsidRDefault="00BA2696" w:rsidP="00BA2696">
            <w:r>
              <w:t>Prioritise needs over wants.</w:t>
            </w:r>
          </w:p>
          <w:p w14:paraId="6BC79143" w14:textId="77777777" w:rsidR="00BA2696" w:rsidRDefault="00BA2696" w:rsidP="00BA2696">
            <w:r>
              <w:t>Manage a weekly budget.</w:t>
            </w:r>
          </w:p>
          <w:p w14:paraId="621CA149" w14:textId="77777777" w:rsidR="00BA2696" w:rsidRDefault="00BA2696" w:rsidP="00BA2696">
            <w:r>
              <w:t>Understand the responsibilities and consequences of borrowing and loaning.</w:t>
            </w:r>
          </w:p>
          <w:p w14:paraId="7F6467B9" w14:textId="77777777" w:rsidR="00BA2696" w:rsidRDefault="00BA2696" w:rsidP="00BA2696">
            <w:r>
              <w:t>Recognise the risks and considerations associated with spending money online.</w:t>
            </w:r>
          </w:p>
          <w:p w14:paraId="49EC2E3A" w14:textId="77777777" w:rsidR="00BA2696" w:rsidRDefault="00BA2696" w:rsidP="00BA2696">
            <w:r>
              <w:t>Explain why workplace stereotyping needs to be challenged.</w:t>
            </w:r>
          </w:p>
          <w:p w14:paraId="51AFD685" w14:textId="04B63107" w:rsidR="00C47C35" w:rsidRPr="00C47C35" w:rsidRDefault="00BA2696" w:rsidP="00BA2696">
            <w:r>
              <w:t>Describe how interests and skills align with future careers.</w:t>
            </w:r>
          </w:p>
        </w:tc>
      </w:tr>
      <w:tr w:rsidR="06866210" w:rsidRPr="00E06566" w14:paraId="4398BCEC" w14:textId="77777777" w:rsidTr="676E8892">
        <w:trPr>
          <w:trHeight w:val="300"/>
        </w:trPr>
        <w:tc>
          <w:tcPr>
            <w:tcW w:w="15509" w:type="dxa"/>
            <w:gridSpan w:val="2"/>
          </w:tcPr>
          <w:p w14:paraId="1B3EC82F" w14:textId="77777777" w:rsidR="003B5713" w:rsidRDefault="2C3B1B0B" w:rsidP="676E8892">
            <w:pPr>
              <w:rPr>
                <w:rFonts w:cs="Calibri"/>
                <w:b/>
                <w:bCs/>
              </w:rPr>
            </w:pPr>
            <w:r w:rsidRPr="676E8892">
              <w:rPr>
                <w:rFonts w:cs="Calibri"/>
                <w:b/>
                <w:bCs/>
              </w:rPr>
              <w:t>Developmental Focus</w:t>
            </w:r>
            <w:r w:rsidR="08E22DE6" w:rsidRPr="676E8892">
              <w:rPr>
                <w:rFonts w:cs="Calibri"/>
                <w:b/>
                <w:bCs/>
              </w:rPr>
              <w:t xml:space="preserve"> Opportunities</w:t>
            </w:r>
            <w:r w:rsidR="1444B555" w:rsidRPr="676E8892">
              <w:rPr>
                <w:rFonts w:cs="Calibri"/>
                <w:b/>
                <w:bCs/>
              </w:rPr>
              <w:t xml:space="preserve"> </w:t>
            </w:r>
            <w:r w:rsidR="2252A83A" w:rsidRPr="676E8892">
              <w:rPr>
                <w:rFonts w:cs="Calibri"/>
                <w:b/>
                <w:bCs/>
              </w:rPr>
              <w:t>(Social and Emotional Skills Learning Intentions)</w:t>
            </w:r>
          </w:p>
          <w:p w14:paraId="47ACE756" w14:textId="2B273BA0" w:rsidR="06866210" w:rsidRPr="00C13654" w:rsidRDefault="00C13654" w:rsidP="00E10F44">
            <w:pPr>
              <w:rPr>
                <w:rFonts w:cs="Calibri"/>
              </w:rPr>
            </w:pPr>
            <w:r w:rsidRPr="00C13654">
              <w:rPr>
                <w:rFonts w:cs="Calibri"/>
              </w:rPr>
              <w:t>In Year 5 PSHE, the economic wellbeing strand offers opportunities for pupils to develop key social and emotional skills such as decision-making, self-regulation, and responsibility. Through exploring needs versus wants, budgeting, and the value of money, children learn to make thoughtful choices, consider consequences, and understand fairness. These lessons also encourage collaboration and empathy as pupils reflect on how financial decisions affect individuals, families, and communities.</w:t>
            </w:r>
          </w:p>
        </w:tc>
      </w:tr>
      <w:tr w:rsidR="00195A54" w:rsidRPr="00195A54" w14:paraId="4E7257A0" w14:textId="77777777" w:rsidTr="676E8892">
        <w:tc>
          <w:tcPr>
            <w:tcW w:w="7725" w:type="dxa"/>
            <w:shd w:val="clear" w:color="auto" w:fill="FAE2D5" w:themeFill="accent2" w:themeFillTint="33"/>
          </w:tcPr>
          <w:p w14:paraId="71C414B0" w14:textId="357DA0E9" w:rsidR="00195A54" w:rsidRPr="00195A54" w:rsidRDefault="00195A54">
            <w:pPr>
              <w:rPr>
                <w:rFonts w:cs="Calibri"/>
                <w:b/>
                <w:bCs/>
              </w:rPr>
            </w:pPr>
            <w:r w:rsidRPr="00195A54">
              <w:rPr>
                <w:rFonts w:cs="Calibri"/>
                <w:b/>
                <w:bCs/>
              </w:rPr>
              <w:t>Key Learning Points</w:t>
            </w:r>
          </w:p>
        </w:tc>
        <w:tc>
          <w:tcPr>
            <w:tcW w:w="7784" w:type="dxa"/>
            <w:shd w:val="clear" w:color="auto" w:fill="FAE2D5" w:themeFill="accent2" w:themeFillTint="33"/>
          </w:tcPr>
          <w:p w14:paraId="0A5A8A25" w14:textId="4876B950" w:rsidR="00195A54" w:rsidRPr="00195A54" w:rsidRDefault="00195A54">
            <w:pPr>
              <w:rPr>
                <w:rFonts w:cs="Calibri"/>
                <w:b/>
                <w:bCs/>
              </w:rPr>
            </w:pPr>
            <w:r w:rsidRPr="00195A54">
              <w:rPr>
                <w:rFonts w:cs="Calibri"/>
                <w:b/>
                <w:bCs/>
              </w:rPr>
              <w:t>Powerful Knowledge</w:t>
            </w:r>
          </w:p>
        </w:tc>
      </w:tr>
      <w:tr w:rsidR="00195A54" w:rsidRPr="00195A54" w14:paraId="06DADF0D" w14:textId="77777777" w:rsidTr="676E8892">
        <w:tc>
          <w:tcPr>
            <w:tcW w:w="7725" w:type="dxa"/>
          </w:tcPr>
          <w:p w14:paraId="7D0DA5E6" w14:textId="77777777" w:rsidR="00970644" w:rsidRDefault="00970644" w:rsidP="00970644">
            <w:r>
              <w:t>Discussing money risks and management.</w:t>
            </w:r>
          </w:p>
          <w:p w14:paraId="0FA26FE1" w14:textId="77777777" w:rsidR="00970644" w:rsidRDefault="00970644" w:rsidP="00970644">
            <w:r>
              <w:t>Making and prioritising budgets.</w:t>
            </w:r>
          </w:p>
          <w:p w14:paraId="65AAC003" w14:textId="77777777" w:rsidR="00970644" w:rsidRDefault="00970644" w:rsidP="00970644">
            <w:r>
              <w:t>Discussing money’s role in career choices.</w:t>
            </w:r>
          </w:p>
          <w:p w14:paraId="6295128C" w14:textId="77777777" w:rsidR="00970644" w:rsidRDefault="00970644" w:rsidP="00970644">
            <w:r>
              <w:t>Assessing loan and borrowing responsibilities and suitability.</w:t>
            </w:r>
          </w:p>
          <w:p w14:paraId="0BF56E70" w14:textId="77777777" w:rsidR="00970644" w:rsidRDefault="00970644" w:rsidP="00970644">
            <w:r>
              <w:t>Implementing money-safeguarding strategies.</w:t>
            </w:r>
          </w:p>
          <w:p w14:paraId="619A6F8A" w14:textId="77777777" w:rsidR="00970644" w:rsidRDefault="00970644" w:rsidP="00970644">
            <w:r>
              <w:t>Navigating emotional implications in financial situations.</w:t>
            </w:r>
          </w:p>
          <w:p w14:paraId="7CB5EB74" w14:textId="77777777" w:rsidR="00970644" w:rsidRDefault="00970644" w:rsidP="00970644">
            <w:r>
              <w:t>Seeking guidance for financial dilemmas.</w:t>
            </w:r>
          </w:p>
          <w:p w14:paraId="13987915" w14:textId="6A16B7AD" w:rsidR="00C47C35" w:rsidRPr="00C47C35" w:rsidRDefault="00970644" w:rsidP="00970644">
            <w:r>
              <w:t>Integrating factors to inform career decisions.</w:t>
            </w:r>
          </w:p>
        </w:tc>
        <w:tc>
          <w:tcPr>
            <w:tcW w:w="7784" w:type="dxa"/>
          </w:tcPr>
          <w:p w14:paraId="5B69D9F1" w14:textId="2C66DF28" w:rsidR="00492FC0" w:rsidRPr="00492FC0" w:rsidRDefault="00492FC0" w:rsidP="00492FC0">
            <w:pPr>
              <w:tabs>
                <w:tab w:val="left" w:pos="980"/>
              </w:tabs>
              <w:rPr>
                <w:rFonts w:cs="Calibri"/>
              </w:rPr>
            </w:pPr>
            <w:r w:rsidRPr="00492FC0">
              <w:rPr>
                <w:rFonts w:cs="Calibri"/>
              </w:rPr>
              <w:t>Principles of budgeting and its consequences. Concept of income, expenditure, and informed spending. The responsibilities and consequences of borrowing money. Risks and strategies for safeguarding money. Emotional responses to various money situations. Factors influencing career decisions. The impact of education and interests on career paths. The effects and challenges of workplace stereotypes.</w:t>
            </w:r>
          </w:p>
        </w:tc>
      </w:tr>
      <w:tr w:rsidR="00195A54" w:rsidRPr="00195A54" w14:paraId="11B5495E" w14:textId="77777777" w:rsidTr="676E8892">
        <w:tc>
          <w:tcPr>
            <w:tcW w:w="7725" w:type="dxa"/>
            <w:shd w:val="clear" w:color="auto" w:fill="FAE2D5" w:themeFill="accent2" w:themeFillTint="33"/>
          </w:tcPr>
          <w:p w14:paraId="7F9FC9CC" w14:textId="21929E12" w:rsidR="00195A54" w:rsidRPr="00195A54" w:rsidRDefault="00195A54">
            <w:pPr>
              <w:rPr>
                <w:rFonts w:cs="Calibri"/>
                <w:b/>
                <w:bCs/>
              </w:rPr>
            </w:pPr>
            <w:r w:rsidRPr="00195A54">
              <w:rPr>
                <w:rFonts w:cs="Calibri"/>
                <w:b/>
                <w:bCs/>
              </w:rPr>
              <w:t xml:space="preserve">Subject-Specific Vocabulary </w:t>
            </w:r>
          </w:p>
        </w:tc>
        <w:tc>
          <w:tcPr>
            <w:tcW w:w="7784" w:type="dxa"/>
            <w:shd w:val="clear" w:color="auto" w:fill="FAE2D5" w:themeFill="accent2" w:themeFillTint="33"/>
          </w:tcPr>
          <w:p w14:paraId="300D8508" w14:textId="708DA0A1" w:rsidR="00195A54" w:rsidRPr="00195A54" w:rsidRDefault="00195A54">
            <w:pPr>
              <w:rPr>
                <w:rFonts w:cs="Calibri"/>
                <w:b/>
                <w:bCs/>
              </w:rPr>
            </w:pPr>
            <w:r w:rsidRPr="00195A54">
              <w:rPr>
                <w:rFonts w:cs="Calibri"/>
                <w:b/>
                <w:bCs/>
              </w:rPr>
              <w:t>Reading Opportunities</w:t>
            </w:r>
          </w:p>
        </w:tc>
      </w:tr>
      <w:tr w:rsidR="00195A54" w:rsidRPr="00195A54" w14:paraId="49B65D1F" w14:textId="77777777" w:rsidTr="676E8892">
        <w:tc>
          <w:tcPr>
            <w:tcW w:w="7725" w:type="dxa"/>
          </w:tcPr>
          <w:p w14:paraId="12D802BE" w14:textId="77777777" w:rsidR="0081417E" w:rsidRDefault="0081417E" w:rsidP="0081417E">
            <w:r>
              <w:t>allocate</w:t>
            </w:r>
          </w:p>
          <w:p w14:paraId="5723E005" w14:textId="77777777" w:rsidR="0081417E" w:rsidRDefault="0081417E" w:rsidP="0081417E">
            <w:r>
              <w:t>borrow</w:t>
            </w:r>
          </w:p>
          <w:p w14:paraId="7A43801D" w14:textId="77777777" w:rsidR="0081417E" w:rsidRDefault="0081417E" w:rsidP="0081417E">
            <w:r>
              <w:t>commitment</w:t>
            </w:r>
          </w:p>
          <w:p w14:paraId="59C0487D" w14:textId="77777777" w:rsidR="0081417E" w:rsidRDefault="0081417E" w:rsidP="0081417E">
            <w:r>
              <w:t>expenditure</w:t>
            </w:r>
          </w:p>
          <w:p w14:paraId="4E68C868" w14:textId="77777777" w:rsidR="0081417E" w:rsidRDefault="0081417E" w:rsidP="0081417E">
            <w:r>
              <w:t>impact</w:t>
            </w:r>
          </w:p>
          <w:p w14:paraId="53C87EF0" w14:textId="77777777" w:rsidR="0081417E" w:rsidRDefault="0081417E" w:rsidP="0081417E">
            <w:r>
              <w:t>income</w:t>
            </w:r>
          </w:p>
          <w:p w14:paraId="0B350E3A" w14:textId="77777777" w:rsidR="0081417E" w:rsidRDefault="0081417E" w:rsidP="0081417E">
            <w:r>
              <w:t>loan</w:t>
            </w:r>
          </w:p>
          <w:p w14:paraId="07EB47FA" w14:textId="77777777" w:rsidR="0081417E" w:rsidRDefault="0081417E" w:rsidP="0081417E">
            <w:r>
              <w:t>prioritise</w:t>
            </w:r>
          </w:p>
          <w:p w14:paraId="1E0D00A8" w14:textId="51B92188" w:rsidR="00C47C35" w:rsidRPr="00195A54" w:rsidRDefault="0081417E" w:rsidP="0081417E">
            <w:r>
              <w:lastRenderedPageBreak/>
              <w:t>repayment</w:t>
            </w:r>
          </w:p>
        </w:tc>
        <w:tc>
          <w:tcPr>
            <w:tcW w:w="7784" w:type="dxa"/>
          </w:tcPr>
          <w:p w14:paraId="73DEE9A5" w14:textId="0F16197B" w:rsidR="00C76D1F" w:rsidRPr="00195A54" w:rsidRDefault="008D6753" w:rsidP="00E10F44">
            <w:r>
              <w:lastRenderedPageBreak/>
              <w:t xml:space="preserve">In </w:t>
            </w:r>
            <w:r w:rsidRPr="008D6753">
              <w:t xml:space="preserve">Year 5 PSHE, particularly within the economic wellbeing strand, reading opportunities help pupils explore money, choices, and values through engaging texts. Stories like “It’s a No-Money Day” by Kate Milner or “Fair Shares” by Pippa Goodhart introduce themes of poverty, fairness, and budgeting in an age-appropriate way. Biographies of entrepreneurs or changemakers can spark discussions about financial responsibility and ethical decision-making. Non-fiction texts, posters, and leaflets about </w:t>
            </w:r>
            <w:r w:rsidRPr="008D6753">
              <w:lastRenderedPageBreak/>
              <w:t>saving, spending, and charity also support comprehension and critical thinking while reinforcing key citizenship concepts.</w:t>
            </w:r>
          </w:p>
        </w:tc>
      </w:tr>
      <w:tr w:rsidR="00195A54" w:rsidRPr="00195A54" w14:paraId="52FDDB70" w14:textId="77777777" w:rsidTr="676E8892">
        <w:tc>
          <w:tcPr>
            <w:tcW w:w="7725" w:type="dxa"/>
            <w:shd w:val="clear" w:color="auto" w:fill="FAE2D5" w:themeFill="accent2" w:themeFillTint="33"/>
          </w:tcPr>
          <w:p w14:paraId="0F848A00" w14:textId="13D105B8" w:rsidR="00195A54" w:rsidRPr="00195A54" w:rsidRDefault="00195A54">
            <w:pPr>
              <w:rPr>
                <w:rFonts w:cs="Calibri"/>
                <w:b/>
                <w:bCs/>
              </w:rPr>
            </w:pPr>
            <w:r w:rsidRPr="00195A54">
              <w:rPr>
                <w:rFonts w:cs="Calibri"/>
                <w:b/>
                <w:bCs/>
              </w:rPr>
              <w:lastRenderedPageBreak/>
              <w:t>Possible Misconceptions</w:t>
            </w:r>
          </w:p>
        </w:tc>
        <w:tc>
          <w:tcPr>
            <w:tcW w:w="7784" w:type="dxa"/>
            <w:shd w:val="clear" w:color="auto" w:fill="FAE2D5" w:themeFill="accent2" w:themeFillTint="33"/>
          </w:tcPr>
          <w:p w14:paraId="6AAEE7C2" w14:textId="3C0F61C4" w:rsidR="00195A54" w:rsidRPr="00195A54" w:rsidRDefault="00195A54">
            <w:pPr>
              <w:rPr>
                <w:rFonts w:cs="Calibri"/>
                <w:b/>
                <w:bCs/>
              </w:rPr>
            </w:pPr>
            <w:r w:rsidRPr="00195A54">
              <w:rPr>
                <w:rFonts w:cs="Calibri"/>
                <w:b/>
                <w:bCs/>
              </w:rPr>
              <w:t>Cross-Curricular Links</w:t>
            </w:r>
          </w:p>
        </w:tc>
      </w:tr>
      <w:tr w:rsidR="00195A54" w:rsidRPr="00195A54" w14:paraId="542ABD73" w14:textId="77777777" w:rsidTr="676E8892">
        <w:tc>
          <w:tcPr>
            <w:tcW w:w="7725" w:type="dxa"/>
          </w:tcPr>
          <w:p w14:paraId="299CC210" w14:textId="5FCD01DF" w:rsidR="00C47C35" w:rsidRPr="00195A54" w:rsidRDefault="008F0BD9">
            <w:pPr>
              <w:rPr>
                <w:rFonts w:cs="Calibri"/>
              </w:rPr>
            </w:pPr>
            <w:r w:rsidRPr="008F0BD9">
              <w:rPr>
                <w:rFonts w:cs="Calibri"/>
              </w:rPr>
              <w:t>In Year 5 PSHE economic wellbeing, pupils may believe that money is the only measure of success or happiness, overlooking values like kindness, creativity, and community. They might assume that adults always have unlimited money or that banks simply give out cash without understanding saving, earning, or budgeting. Some may think that all jobs are paid equally or that spending is better than saving. Addressing these misconceptions helps children develop financial awareness, responsible decision-making, and a balanced view of personal and social wellbeing.</w:t>
            </w:r>
          </w:p>
        </w:tc>
        <w:tc>
          <w:tcPr>
            <w:tcW w:w="7784" w:type="dxa"/>
          </w:tcPr>
          <w:p w14:paraId="1D5D52B8" w14:textId="77777777" w:rsidR="00A35A15" w:rsidRPr="00A35A15" w:rsidRDefault="00A35A15" w:rsidP="00A35A15">
            <w:pPr>
              <w:rPr>
                <w:rFonts w:cs="Calibri"/>
              </w:rPr>
            </w:pPr>
            <w:r w:rsidRPr="00A35A15">
              <w:rPr>
                <w:rFonts w:cs="Calibri"/>
              </w:rPr>
              <w:t>British values: Democracy, Individual liberty, Mutual respect, Rule of law, Tolerance of those with different faiths and beliefs.</w:t>
            </w:r>
          </w:p>
          <w:p w14:paraId="16DF3517" w14:textId="77777777" w:rsidR="00A35A15" w:rsidRPr="00A35A15" w:rsidRDefault="00A35A15" w:rsidP="00A35A15">
            <w:pPr>
              <w:rPr>
                <w:rFonts w:cs="Calibri"/>
              </w:rPr>
            </w:pPr>
            <w:r w:rsidRPr="00A35A15">
              <w:rPr>
                <w:rFonts w:cs="Calibri"/>
              </w:rPr>
              <w:t>English: Spoken language</w:t>
            </w:r>
          </w:p>
          <w:p w14:paraId="7DCD9DC6" w14:textId="223CD048" w:rsidR="00C47C35" w:rsidRPr="00195A54" w:rsidRDefault="00A35A15" w:rsidP="00A35A15">
            <w:pPr>
              <w:rPr>
                <w:rFonts w:cs="Calibri"/>
              </w:rPr>
            </w:pPr>
            <w:r w:rsidRPr="00A35A15">
              <w:rPr>
                <w:rFonts w:cs="Calibri"/>
              </w:rPr>
              <w:t>Maths: Measurement</w:t>
            </w:r>
          </w:p>
        </w:tc>
      </w:tr>
    </w:tbl>
    <w:p w14:paraId="0FB60DF5" w14:textId="77777777" w:rsidR="0018518C" w:rsidRPr="00195A54" w:rsidRDefault="0018518C">
      <w:pPr>
        <w:rPr>
          <w:rFonts w:cs="Calibri"/>
        </w:rPr>
      </w:pPr>
    </w:p>
    <w:sectPr w:rsidR="0018518C" w:rsidRPr="00195A54" w:rsidSect="00195A54">
      <w:headerReference w:type="default" r:id="rId10"/>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5F99E" w14:textId="77777777" w:rsidR="00036DB3" w:rsidRDefault="00036DB3" w:rsidP="00195A54">
      <w:pPr>
        <w:spacing w:after="0" w:line="240" w:lineRule="auto"/>
      </w:pPr>
      <w:r>
        <w:separator/>
      </w:r>
    </w:p>
  </w:endnote>
  <w:endnote w:type="continuationSeparator" w:id="0">
    <w:p w14:paraId="446BE22A" w14:textId="77777777" w:rsidR="00036DB3" w:rsidRDefault="00036DB3" w:rsidP="00195A54">
      <w:pPr>
        <w:spacing w:after="0" w:line="240" w:lineRule="auto"/>
      </w:pPr>
      <w:r>
        <w:continuationSeparator/>
      </w:r>
    </w:p>
  </w:endnote>
  <w:endnote w:type="continuationNotice" w:id="1">
    <w:p w14:paraId="442B7E1A" w14:textId="77777777" w:rsidR="00036DB3" w:rsidRDefault="00036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294F9F67" w14:paraId="1661FECB" w14:textId="77777777" w:rsidTr="294F9F67">
      <w:trPr>
        <w:trHeight w:val="300"/>
      </w:trPr>
      <w:tc>
        <w:tcPr>
          <w:tcW w:w="5130" w:type="dxa"/>
        </w:tcPr>
        <w:p w14:paraId="50D95D6E" w14:textId="3E0EEEF1" w:rsidR="294F9F67" w:rsidRDefault="294F9F67" w:rsidP="294F9F67">
          <w:pPr>
            <w:pStyle w:val="Header"/>
            <w:ind w:left="-115"/>
          </w:pPr>
        </w:p>
      </w:tc>
      <w:tc>
        <w:tcPr>
          <w:tcW w:w="5130" w:type="dxa"/>
        </w:tcPr>
        <w:p w14:paraId="144DBBF2" w14:textId="64FCBC48" w:rsidR="294F9F67" w:rsidRDefault="294F9F67" w:rsidP="294F9F67">
          <w:pPr>
            <w:pStyle w:val="Header"/>
            <w:jc w:val="center"/>
          </w:pPr>
        </w:p>
      </w:tc>
      <w:tc>
        <w:tcPr>
          <w:tcW w:w="5130" w:type="dxa"/>
        </w:tcPr>
        <w:p w14:paraId="5498E16B" w14:textId="0E5CE0C0" w:rsidR="294F9F67" w:rsidRDefault="294F9F67" w:rsidP="294F9F67">
          <w:pPr>
            <w:pStyle w:val="Header"/>
            <w:ind w:right="-115"/>
            <w:jc w:val="right"/>
          </w:pPr>
        </w:p>
      </w:tc>
    </w:tr>
  </w:tbl>
  <w:p w14:paraId="0979ADF7" w14:textId="0BE7CEFE" w:rsidR="294F9F67" w:rsidRDefault="294F9F67" w:rsidP="294F9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AF537" w14:textId="77777777" w:rsidR="00036DB3" w:rsidRDefault="00036DB3" w:rsidP="00195A54">
      <w:pPr>
        <w:spacing w:after="0" w:line="240" w:lineRule="auto"/>
      </w:pPr>
      <w:r>
        <w:separator/>
      </w:r>
    </w:p>
  </w:footnote>
  <w:footnote w:type="continuationSeparator" w:id="0">
    <w:p w14:paraId="3B06262C" w14:textId="77777777" w:rsidR="00036DB3" w:rsidRDefault="00036DB3" w:rsidP="00195A54">
      <w:pPr>
        <w:spacing w:after="0" w:line="240" w:lineRule="auto"/>
      </w:pPr>
      <w:r>
        <w:continuationSeparator/>
      </w:r>
    </w:p>
  </w:footnote>
  <w:footnote w:type="continuationNotice" w:id="1">
    <w:p w14:paraId="10460EEE" w14:textId="77777777" w:rsidR="00036DB3" w:rsidRDefault="00036D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26E1" w14:textId="4D930F32" w:rsidR="00195A54" w:rsidRPr="00C47C35" w:rsidRDefault="2AEA547E" w:rsidP="00C47C35">
    <w:pPr>
      <w:pStyle w:val="Header"/>
      <w:jc w:val="center"/>
      <w:rPr>
        <w:u w:val="single"/>
      </w:rPr>
    </w:pPr>
    <w:r w:rsidRPr="2AEA547E">
      <w:rPr>
        <w:u w:val="single"/>
      </w:rPr>
      <w:t>Year 5 PSHE Unit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E4526"/>
    <w:multiLevelType w:val="hybridMultilevel"/>
    <w:tmpl w:val="7AEC39FA"/>
    <w:lvl w:ilvl="0" w:tplc="0842085E">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29291E"/>
    <w:multiLevelType w:val="hybridMultilevel"/>
    <w:tmpl w:val="47F6F61E"/>
    <w:lvl w:ilvl="0" w:tplc="4CE8D4EE">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5665897">
    <w:abstractNumId w:val="1"/>
  </w:num>
  <w:num w:numId="2" w16cid:durableId="295529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54"/>
    <w:rsid w:val="000062CC"/>
    <w:rsid w:val="00036DB3"/>
    <w:rsid w:val="00084ED7"/>
    <w:rsid w:val="0009383E"/>
    <w:rsid w:val="00093E10"/>
    <w:rsid w:val="00096228"/>
    <w:rsid w:val="000A5513"/>
    <w:rsid w:val="0018518C"/>
    <w:rsid w:val="00195A54"/>
    <w:rsid w:val="001F1708"/>
    <w:rsid w:val="001F4149"/>
    <w:rsid w:val="002035A5"/>
    <w:rsid w:val="002360A4"/>
    <w:rsid w:val="002A1C98"/>
    <w:rsid w:val="002B1695"/>
    <w:rsid w:val="003275F5"/>
    <w:rsid w:val="00375FF9"/>
    <w:rsid w:val="00383BE2"/>
    <w:rsid w:val="00383FD4"/>
    <w:rsid w:val="00391221"/>
    <w:rsid w:val="003B5713"/>
    <w:rsid w:val="00406D07"/>
    <w:rsid w:val="0043308C"/>
    <w:rsid w:val="00434841"/>
    <w:rsid w:val="00455EFE"/>
    <w:rsid w:val="00492FC0"/>
    <w:rsid w:val="004B27F2"/>
    <w:rsid w:val="00546298"/>
    <w:rsid w:val="005523D3"/>
    <w:rsid w:val="005B47A0"/>
    <w:rsid w:val="005F3BE7"/>
    <w:rsid w:val="00603C60"/>
    <w:rsid w:val="00607DD1"/>
    <w:rsid w:val="00650112"/>
    <w:rsid w:val="00677F17"/>
    <w:rsid w:val="006A4BB3"/>
    <w:rsid w:val="006E02F1"/>
    <w:rsid w:val="006E044B"/>
    <w:rsid w:val="006F0359"/>
    <w:rsid w:val="00803C05"/>
    <w:rsid w:val="0081417E"/>
    <w:rsid w:val="0082546C"/>
    <w:rsid w:val="00890DE1"/>
    <w:rsid w:val="00896FB5"/>
    <w:rsid w:val="008D0C99"/>
    <w:rsid w:val="008D66CC"/>
    <w:rsid w:val="008D6753"/>
    <w:rsid w:val="008F0BD9"/>
    <w:rsid w:val="00905EEB"/>
    <w:rsid w:val="00970644"/>
    <w:rsid w:val="00980A52"/>
    <w:rsid w:val="009878E2"/>
    <w:rsid w:val="009A451C"/>
    <w:rsid w:val="009E6047"/>
    <w:rsid w:val="00A35A15"/>
    <w:rsid w:val="00A35BF0"/>
    <w:rsid w:val="00A87D9A"/>
    <w:rsid w:val="00AA69E4"/>
    <w:rsid w:val="00AD6CF3"/>
    <w:rsid w:val="00B07125"/>
    <w:rsid w:val="00B72AF3"/>
    <w:rsid w:val="00BA2696"/>
    <w:rsid w:val="00BA292B"/>
    <w:rsid w:val="00BB21E9"/>
    <w:rsid w:val="00C1074A"/>
    <w:rsid w:val="00C13654"/>
    <w:rsid w:val="00C31132"/>
    <w:rsid w:val="00C42356"/>
    <w:rsid w:val="00C47C35"/>
    <w:rsid w:val="00C76D1F"/>
    <w:rsid w:val="00CE0864"/>
    <w:rsid w:val="00D05C01"/>
    <w:rsid w:val="00D20AD5"/>
    <w:rsid w:val="00D24D50"/>
    <w:rsid w:val="00D3533B"/>
    <w:rsid w:val="00D740DA"/>
    <w:rsid w:val="00D81E35"/>
    <w:rsid w:val="00D862A9"/>
    <w:rsid w:val="00DB7DD5"/>
    <w:rsid w:val="00E04CA0"/>
    <w:rsid w:val="00E06566"/>
    <w:rsid w:val="00E10F44"/>
    <w:rsid w:val="00E25BF5"/>
    <w:rsid w:val="00E328D1"/>
    <w:rsid w:val="00E43558"/>
    <w:rsid w:val="00E86A4E"/>
    <w:rsid w:val="00EA7126"/>
    <w:rsid w:val="00EA7C41"/>
    <w:rsid w:val="00EE29B5"/>
    <w:rsid w:val="00EF1DEC"/>
    <w:rsid w:val="00F10CF5"/>
    <w:rsid w:val="00F671E2"/>
    <w:rsid w:val="00F83601"/>
    <w:rsid w:val="00FE70DA"/>
    <w:rsid w:val="054DC45A"/>
    <w:rsid w:val="057E4F3B"/>
    <w:rsid w:val="06866210"/>
    <w:rsid w:val="078DF558"/>
    <w:rsid w:val="08E22DE6"/>
    <w:rsid w:val="0C1C277E"/>
    <w:rsid w:val="0FB67791"/>
    <w:rsid w:val="1444B555"/>
    <w:rsid w:val="145840CD"/>
    <w:rsid w:val="18F61043"/>
    <w:rsid w:val="1BC71A41"/>
    <w:rsid w:val="2252A83A"/>
    <w:rsid w:val="27F2A3D6"/>
    <w:rsid w:val="28D3CFAF"/>
    <w:rsid w:val="28F84B91"/>
    <w:rsid w:val="294F9F67"/>
    <w:rsid w:val="2AEA547E"/>
    <w:rsid w:val="2C3B1B0B"/>
    <w:rsid w:val="3562DB51"/>
    <w:rsid w:val="358DC614"/>
    <w:rsid w:val="36B35AE3"/>
    <w:rsid w:val="38F33F79"/>
    <w:rsid w:val="39BECB2F"/>
    <w:rsid w:val="3A8CC2B2"/>
    <w:rsid w:val="3AB5006C"/>
    <w:rsid w:val="3B1398DF"/>
    <w:rsid w:val="4128C460"/>
    <w:rsid w:val="4933650D"/>
    <w:rsid w:val="4E81B078"/>
    <w:rsid w:val="4F48B39E"/>
    <w:rsid w:val="4F9F288C"/>
    <w:rsid w:val="50AB7647"/>
    <w:rsid w:val="516E766A"/>
    <w:rsid w:val="54566DEE"/>
    <w:rsid w:val="59CF81BA"/>
    <w:rsid w:val="5CD8EAFD"/>
    <w:rsid w:val="5CDC4B33"/>
    <w:rsid w:val="60B89CF8"/>
    <w:rsid w:val="62A2E7E8"/>
    <w:rsid w:val="6506AC6F"/>
    <w:rsid w:val="66A1710B"/>
    <w:rsid w:val="676E8892"/>
    <w:rsid w:val="69E22E89"/>
    <w:rsid w:val="6AEBA09E"/>
    <w:rsid w:val="6D7687DF"/>
    <w:rsid w:val="72A26170"/>
    <w:rsid w:val="7312A6C5"/>
    <w:rsid w:val="734BC7AF"/>
    <w:rsid w:val="75F42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A99"/>
  <w15:chartTrackingRefBased/>
  <w15:docId w15:val="{A1610FB5-5C3F-44F5-9993-8DCADC48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A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A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A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A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A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A54"/>
    <w:rPr>
      <w:rFonts w:eastAsiaTheme="majorEastAsia" w:cstheme="majorBidi"/>
      <w:color w:val="272727" w:themeColor="text1" w:themeTint="D8"/>
    </w:rPr>
  </w:style>
  <w:style w:type="paragraph" w:styleId="Title">
    <w:name w:val="Title"/>
    <w:basedOn w:val="Normal"/>
    <w:next w:val="Normal"/>
    <w:link w:val="TitleChar"/>
    <w:uiPriority w:val="10"/>
    <w:qFormat/>
    <w:rsid w:val="00195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A54"/>
    <w:pPr>
      <w:spacing w:before="160"/>
      <w:jc w:val="center"/>
    </w:pPr>
    <w:rPr>
      <w:i/>
      <w:iCs/>
      <w:color w:val="404040" w:themeColor="text1" w:themeTint="BF"/>
    </w:rPr>
  </w:style>
  <w:style w:type="character" w:customStyle="1" w:styleId="QuoteChar">
    <w:name w:val="Quote Char"/>
    <w:basedOn w:val="DefaultParagraphFont"/>
    <w:link w:val="Quote"/>
    <w:uiPriority w:val="29"/>
    <w:rsid w:val="00195A54"/>
    <w:rPr>
      <w:i/>
      <w:iCs/>
      <w:color w:val="404040" w:themeColor="text1" w:themeTint="BF"/>
    </w:rPr>
  </w:style>
  <w:style w:type="paragraph" w:styleId="ListParagraph">
    <w:name w:val="List Paragraph"/>
    <w:basedOn w:val="Normal"/>
    <w:uiPriority w:val="34"/>
    <w:qFormat/>
    <w:rsid w:val="00195A54"/>
    <w:pPr>
      <w:ind w:left="720"/>
      <w:contextualSpacing/>
    </w:pPr>
  </w:style>
  <w:style w:type="character" w:styleId="IntenseEmphasis">
    <w:name w:val="Intense Emphasis"/>
    <w:basedOn w:val="DefaultParagraphFont"/>
    <w:uiPriority w:val="21"/>
    <w:qFormat/>
    <w:rsid w:val="00195A54"/>
    <w:rPr>
      <w:i/>
      <w:iCs/>
      <w:color w:val="0F4761" w:themeColor="accent1" w:themeShade="BF"/>
    </w:rPr>
  </w:style>
  <w:style w:type="paragraph" w:styleId="IntenseQuote">
    <w:name w:val="Intense Quote"/>
    <w:basedOn w:val="Normal"/>
    <w:next w:val="Normal"/>
    <w:link w:val="IntenseQuoteChar"/>
    <w:uiPriority w:val="30"/>
    <w:qFormat/>
    <w:rsid w:val="00195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A54"/>
    <w:rPr>
      <w:i/>
      <w:iCs/>
      <w:color w:val="0F4761" w:themeColor="accent1" w:themeShade="BF"/>
    </w:rPr>
  </w:style>
  <w:style w:type="character" w:styleId="IntenseReference">
    <w:name w:val="Intense Reference"/>
    <w:basedOn w:val="DefaultParagraphFont"/>
    <w:uiPriority w:val="32"/>
    <w:qFormat/>
    <w:rsid w:val="00195A54"/>
    <w:rPr>
      <w:b/>
      <w:bCs/>
      <w:smallCaps/>
      <w:color w:val="0F4761" w:themeColor="accent1" w:themeShade="BF"/>
      <w:spacing w:val="5"/>
    </w:rPr>
  </w:style>
  <w:style w:type="table" w:styleId="TableGrid">
    <w:name w:val="Table Grid"/>
    <w:basedOn w:val="TableNormal"/>
    <w:uiPriority w:val="39"/>
    <w:rsid w:val="0019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5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A54"/>
  </w:style>
  <w:style w:type="paragraph" w:styleId="Footer">
    <w:name w:val="footer"/>
    <w:basedOn w:val="Normal"/>
    <w:link w:val="FooterChar"/>
    <w:uiPriority w:val="99"/>
    <w:unhideWhenUsed/>
    <w:rsid w:val="00195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d4b03506b5a583a7936d51e867e7af4a">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773c982b07eb5a6e4230b79117cef8bf"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66117f-7919-47ac-be66-08e25af4fef9" xsi:nil="true"/>
    <lcf76f155ced4ddcb4097134ff3c332f xmlns="874040a9-a7f0-4221-8930-47994d6152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DD8573-CDC9-4B28-BE3A-4A985F2607AD}"/>
</file>

<file path=customXml/itemProps2.xml><?xml version="1.0" encoding="utf-8"?>
<ds:datastoreItem xmlns:ds="http://schemas.openxmlformats.org/officeDocument/2006/customXml" ds:itemID="{AAB1636C-2891-4DCE-885C-6BDF07B74FC9}">
  <ds:schemaRefs>
    <ds:schemaRef ds:uri="http://schemas.microsoft.com/sharepoint/v3/contenttype/forms"/>
  </ds:schemaRefs>
</ds:datastoreItem>
</file>

<file path=customXml/itemProps3.xml><?xml version="1.0" encoding="utf-8"?>
<ds:datastoreItem xmlns:ds="http://schemas.openxmlformats.org/officeDocument/2006/customXml" ds:itemID="{26E240D3-E646-40A3-B3EB-EA175A41BE01}">
  <ds:schemaRefs>
    <ds:schemaRef ds:uri="http://schemas.microsoft.com/office/2006/metadata/properties"/>
    <ds:schemaRef ds:uri="http://schemas.microsoft.com/office/infopath/2007/PartnerControls"/>
    <ds:schemaRef ds:uri="0527fa56-fb9c-4004-a323-c7b97c1755ea"/>
    <ds:schemaRef ds:uri="0f53d791-0c25-4ea0-b348-159f9ecf6872"/>
  </ds:schemaRefs>
</ds:datastoreItem>
</file>

<file path=docMetadata/LabelInfo.xml><?xml version="1.0" encoding="utf-8"?>
<clbl:labelList xmlns:clbl="http://schemas.microsoft.com/office/2020/mipLabelMetadata">
  <clbl:label id="{9a79884b-3611-4fca-b588-632017a0b7f8}" enabled="1" method="Standard" siteId="{a724b426-67c1-475e-a8a9-bc73bb7a492e}"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497</Words>
  <Characters>2878</Characters>
  <Application>Microsoft Office Word</Application>
  <DocSecurity>0</DocSecurity>
  <Lines>75</Lines>
  <Paragraphs>60</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Natalie</dc:creator>
  <cp:keywords/>
  <dc:description/>
  <cp:lastModifiedBy>Garner, Debbie</cp:lastModifiedBy>
  <cp:revision>11</cp:revision>
  <dcterms:created xsi:type="dcterms:W3CDTF">2025-10-30T15:07:00Z</dcterms:created>
  <dcterms:modified xsi:type="dcterms:W3CDTF">2025-10-30T15:17:00Z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